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C84" w:rsidRPr="006920D5" w:rsidRDefault="00402C84" w:rsidP="006920D5">
      <w:pPr>
        <w:pStyle w:val="BOPVTitulo"/>
        <w:jc w:val="both"/>
        <w:rPr>
          <w:lang w:val="eu-ES"/>
        </w:rPr>
      </w:pPr>
      <w:r w:rsidRPr="006920D5">
        <w:rPr>
          <w:lang w:val="eu-ES"/>
        </w:rPr>
        <w:t>XXX/XXX DEKRETU-PROIEKTUA, 2019KO XXAREN XX(E)KOA, ADIKZIOEN ARLOKO JARDUNBIDE EGOKIEN ETA IBILBIDE PROFESIONALAREN AINTZATESPENAK SORTU ETA ZEHAZTEN DITUENA</w:t>
      </w:r>
    </w:p>
    <w:p w:rsidR="006D51F1" w:rsidRPr="006920D5" w:rsidRDefault="006D51F1" w:rsidP="006920D5">
      <w:pPr>
        <w:pStyle w:val="BOPVDetalle"/>
        <w:jc w:val="both"/>
        <w:rPr>
          <w:lang w:val="eu-ES"/>
        </w:rPr>
      </w:pPr>
      <w:r w:rsidRPr="006920D5">
        <w:rPr>
          <w:lang w:val="eu-ES"/>
        </w:rPr>
        <w:t>Adikzioen eta Droga Mendekotasunen gaineko Arreta Integralari buruzko apirilaren 7ko 1/2016 Legearen (EHAA, 69. zk., 2016ko apirilaren 13koa) bosgarren tituluari jarraikiz (ezagutzaren garapenaren eta kudeaketaren ingurukoa), Euskadiko administrazio publikoek sariak eta ohorezko merezimenduak sor ditzakete, adikzioen esparruan, prebentzioaren, asistentziaren, gizarteratzearen, prestakuntzaren edo ikerketaren arloetan, nabarmendu diren pertsona eta erakundeen lana publikoki aintzatesteko. Era berean, lege horren 64. artikuluan, ezartzen da sari horien edukia eta ezaugarriak erregelamendu bidez zehaztuko direla.</w:t>
      </w:r>
    </w:p>
    <w:p w:rsidR="006D51F1" w:rsidRPr="006920D5" w:rsidRDefault="006D51F1" w:rsidP="006920D5">
      <w:pPr>
        <w:pStyle w:val="BOPVDetalle"/>
        <w:jc w:val="both"/>
        <w:rPr>
          <w:lang w:val="eu-ES"/>
        </w:rPr>
      </w:pPr>
      <w:r w:rsidRPr="006920D5">
        <w:rPr>
          <w:lang w:val="eu-ES"/>
        </w:rPr>
        <w:t>Hori horrela, 2017-2021erako Adikzioen VII. Planak, «4. Ezagutzaren, prestakuntzaren eta ebaluazioaren kudeaketa» ardatzean, aldi horretarako jarduketa-helburu gisa ezartzen du adikzioen alorrean lan azpimarragarria egin duten ekimenen aintzatespena bultzatzea (4.4 helburua). Ekintza honen bidez gauzatuko da helburua: «Pertsona edo erakunde jakin batzuk adikzioen prebentzioan, eskaintzaren murrizketan, arriskuen murrizketan, laguntzan, gizarteratzean, prestakuntzan edo ikerketan gauzatu duten lana edo ibilbidea guztien aurrean aintzatesteko ekintzak eta ekimenak bultzatzea» (9. ekintza).</w:t>
      </w:r>
    </w:p>
    <w:p w:rsidR="006D51F1" w:rsidRPr="006920D5" w:rsidRDefault="006D51F1" w:rsidP="006920D5">
      <w:pPr>
        <w:pStyle w:val="BOPVDetalle"/>
        <w:jc w:val="both"/>
        <w:rPr>
          <w:lang w:val="eu-ES"/>
        </w:rPr>
      </w:pPr>
      <w:r w:rsidRPr="006920D5">
        <w:rPr>
          <w:lang w:val="eu-ES"/>
        </w:rPr>
        <w:t>Adikzioen eta Droga Mendekotasunen gaineko Arreta Integralari buruzko Legean bildutako erakunde-egitura garatzen duen Dekretuaren (25/2018 Dekretua, otsailaren 20koa) 24.1.l) artikuluaren arabera, Eusko Jaurlaritzari adikzioen arloan laguntzeko eta asistentzia emateko organoaren eginkizuna izango da adikzioen alorreko sariak eta aintzatespenak kudeatzea.</w:t>
      </w:r>
    </w:p>
    <w:p w:rsidR="006D51F1" w:rsidRPr="006920D5" w:rsidRDefault="006D51F1" w:rsidP="006920D5">
      <w:pPr>
        <w:pStyle w:val="BOPVDetalle"/>
        <w:jc w:val="both"/>
        <w:rPr>
          <w:lang w:val="eu-ES"/>
        </w:rPr>
      </w:pPr>
      <w:r w:rsidRPr="006920D5">
        <w:rPr>
          <w:lang w:val="eu-ES"/>
        </w:rPr>
        <w:t>Sariak pertsona fisiko zein juridikoek, erakunde publiko zein pribatuek nahiz administrazio eta instituzio publikoek adikzioen esparruan izan duten ibilbide profesionala aintzatesteko sortu dira, bai eta balioa emateko ere pertsona edo erakunde horiek adikzioen prebentzioaren, asistentziaren, gizarteratzearen, prestakuntzaren edo ikerketaren arloetan gauzatutako jardunbide egokiei.</w:t>
      </w:r>
    </w:p>
    <w:p w:rsidR="006D51F1" w:rsidRPr="006920D5" w:rsidRDefault="006D51F1" w:rsidP="006920D5">
      <w:pPr>
        <w:pStyle w:val="BOPVDetalle"/>
        <w:jc w:val="both"/>
        <w:rPr>
          <w:lang w:val="eu-ES"/>
        </w:rPr>
      </w:pPr>
      <w:r w:rsidRPr="006920D5">
        <w:rPr>
          <w:lang w:val="eu-ES"/>
        </w:rPr>
        <w:t>Erregelamenduz arautzearen ardatza lege-mandatua osatzea izango da, legeak berak erregelamendu-garapena eskatzen duen kasuetan. Erregelamendu-garapena beharrezkoa da hala eskatzen duten alderdietan, halakorik gabe lege-aginduak berak ez bailuke bere birtualtasun osoa lortuko.</w:t>
      </w:r>
    </w:p>
    <w:p w:rsidR="006D51F1" w:rsidRPr="006920D5" w:rsidRDefault="006D51F1" w:rsidP="006920D5">
      <w:pPr>
        <w:pStyle w:val="BOPVDetalle"/>
        <w:jc w:val="both"/>
        <w:rPr>
          <w:lang w:val="eu-ES"/>
        </w:rPr>
      </w:pPr>
      <w:r w:rsidRPr="006920D5">
        <w:rPr>
          <w:lang w:val="eu-ES"/>
        </w:rPr>
        <w:t>Horregatik, nahitaezko txostenak eman ondoren eta Euskadiko Aholku Batzorde Juridikoarekin bat etorriz, Osasuneko sailburuak proposatuta eta Gobernu Kontseiluak 2019ko xxxxxxxaren xx(e)(a)n egindako bilkuran eztabaidatu eta onartu ondoren, honako hau</w:t>
      </w:r>
    </w:p>
    <w:p w:rsidR="006D51F1" w:rsidRPr="006920D5" w:rsidRDefault="006D51F1" w:rsidP="006920D5">
      <w:pPr>
        <w:pStyle w:val="BOPVClave"/>
        <w:jc w:val="both"/>
        <w:rPr>
          <w:lang w:val="eu-ES"/>
        </w:rPr>
      </w:pPr>
      <w:r w:rsidRPr="006920D5">
        <w:rPr>
          <w:lang w:val="eu-ES"/>
        </w:rPr>
        <w:t>XEDATZEN DUT</w:t>
      </w:r>
    </w:p>
    <w:p w:rsidR="006D51F1" w:rsidRPr="006920D5" w:rsidRDefault="006D51F1" w:rsidP="006920D5">
      <w:pPr>
        <w:pStyle w:val="BOPVDetalle"/>
        <w:jc w:val="both"/>
        <w:rPr>
          <w:lang w:val="eu-ES"/>
        </w:rPr>
      </w:pPr>
      <w:r w:rsidRPr="006920D5">
        <w:rPr>
          <w:lang w:val="eu-ES"/>
        </w:rPr>
        <w:t>1. artikulua.- Xedea.</w:t>
      </w:r>
    </w:p>
    <w:p w:rsidR="006D51F1" w:rsidRPr="006920D5" w:rsidRDefault="006D51F1" w:rsidP="006920D5">
      <w:pPr>
        <w:pStyle w:val="BOPVDetalle"/>
        <w:jc w:val="both"/>
        <w:rPr>
          <w:lang w:val="eu-ES"/>
        </w:rPr>
      </w:pPr>
      <w:r w:rsidRPr="006920D5">
        <w:rPr>
          <w:lang w:val="eu-ES"/>
        </w:rPr>
        <w:t>1. «Euskadiko adikzioen arloko jardunbide egokien aintzatespenak» eta «Euskadiko adikzioen esparruko ibilbide profesionalaren aintzatespenak» sortu dira.</w:t>
      </w:r>
    </w:p>
    <w:p w:rsidR="006D51F1" w:rsidRPr="006920D5" w:rsidRDefault="006D51F1" w:rsidP="006920D5">
      <w:pPr>
        <w:pStyle w:val="BOPVDetalle"/>
        <w:jc w:val="both"/>
        <w:rPr>
          <w:lang w:val="eu-ES"/>
        </w:rPr>
      </w:pPr>
      <w:r w:rsidRPr="006920D5">
        <w:rPr>
          <w:lang w:val="eu-ES"/>
        </w:rPr>
        <w:t>2. Era berean, epaimahaiak jardunbide egokien aipamenak eman ahalko ditu, dekretu honetan edo xedapen arautzaileetan ezarritakoaren arabera.</w:t>
      </w:r>
    </w:p>
    <w:p w:rsidR="006D51F1" w:rsidRPr="006920D5" w:rsidRDefault="006D51F1" w:rsidP="006920D5">
      <w:pPr>
        <w:pStyle w:val="BOPVDetalle"/>
        <w:jc w:val="both"/>
        <w:rPr>
          <w:lang w:val="eu-ES"/>
        </w:rPr>
      </w:pPr>
      <w:r w:rsidRPr="006920D5">
        <w:rPr>
          <w:lang w:val="eu-ES"/>
        </w:rPr>
        <w:t>2. artikulua.- Euskadiko adikzioen arloko jardunbide egokien aintzatespenak eta aipamenak.</w:t>
      </w:r>
    </w:p>
    <w:p w:rsidR="006D51F1" w:rsidRPr="006920D5" w:rsidRDefault="006D51F1" w:rsidP="006920D5">
      <w:pPr>
        <w:pStyle w:val="BOPVDetalle"/>
        <w:jc w:val="both"/>
        <w:rPr>
          <w:lang w:val="eu-ES"/>
        </w:rPr>
      </w:pPr>
      <w:r w:rsidRPr="006920D5">
        <w:rPr>
          <w:lang w:val="eu-ES"/>
        </w:rPr>
        <w:t xml:space="preserve">1. Aintzatespenek eta aipamenek helburutzat dute adikzioen prebentzioaren, </w:t>
      </w:r>
      <w:r w:rsidRPr="006920D5">
        <w:rPr>
          <w:lang w:val="eu-ES"/>
        </w:rPr>
        <w:lastRenderedPageBreak/>
        <w:t>asistentziaren, gizarteratzearen, prestakuntzaren eta ikerketaren arloetako jardunbide egokiak, ekimenak eta erakunde berritzaileak sustatu eta suspertzea.</w:t>
      </w:r>
    </w:p>
    <w:p w:rsidR="006D51F1" w:rsidRPr="006920D5" w:rsidRDefault="006D51F1" w:rsidP="006920D5">
      <w:pPr>
        <w:pStyle w:val="BOPVDetalle"/>
        <w:jc w:val="both"/>
        <w:rPr>
          <w:lang w:val="eu-ES"/>
        </w:rPr>
      </w:pPr>
      <w:r w:rsidRPr="006920D5">
        <w:rPr>
          <w:lang w:val="eu-ES"/>
        </w:rPr>
        <w:t>Dekretu honen ondorioetarako, jardunbide egokitzat jotzen da testuinguru jakin batean emaitza onak lortu dituzten jarduketen multzo koherentea, bai eta, antzeko testuinguruetan, emaitza positibo berak eskuratu ditzaketen jarduketen multzoa ere. Jarduketa bat jardunbide egokitzat jotzeko, kalitatezko irizpide teknikoak bildu behar ditu.</w:t>
      </w:r>
    </w:p>
    <w:p w:rsidR="006D51F1" w:rsidRPr="006920D5" w:rsidRDefault="006D51F1" w:rsidP="006920D5">
      <w:pPr>
        <w:pStyle w:val="BOPVDetalle"/>
        <w:jc w:val="both"/>
        <w:rPr>
          <w:lang w:val="eu-ES"/>
        </w:rPr>
      </w:pPr>
      <w:r w:rsidRPr="006920D5">
        <w:rPr>
          <w:lang w:val="eu-ES"/>
        </w:rPr>
        <w:t>Era berean, ekimen berritzailetzat hartuko dira adikzioen prebentzioaren, asistentziaren, gizarteratzearen, prestakuntzaren eta ikerketaren eremuan ideia, ezagutza, antolakuntza-egitura, jarduketa eta esperientzia berritzaileak sortzen eta ezartzen laguntzen duten ekimenak.</w:t>
      </w:r>
    </w:p>
    <w:p w:rsidR="006D51F1" w:rsidRPr="006920D5" w:rsidRDefault="006D51F1" w:rsidP="006920D5">
      <w:pPr>
        <w:pStyle w:val="BOPVDetalle"/>
        <w:jc w:val="both"/>
        <w:rPr>
          <w:lang w:val="eu-ES"/>
        </w:rPr>
      </w:pPr>
      <w:r w:rsidRPr="006920D5">
        <w:rPr>
          <w:lang w:val="eu-ES"/>
        </w:rPr>
        <w:t>2. Adikzioen prebentzioaren, asistentziaren, gizarteratzearen, prestakuntzaren eta ikerketaren arloetan jardunbide egokiak, ekimen berritzaileak eta ikerketa-proiektuak garatu edo sustatzen dituzten EAEko pertsona fisiko zein juridikoek, erakunde publiko zein pribatuek nahiz administrazio eta instituzio publikoek jaso ahalko dituzte aintzatespenak. Proiektua edo praktika Euskal Autonomia Erkidegoan gauzatu behar da.</w:t>
      </w:r>
    </w:p>
    <w:p w:rsidR="006D51F1" w:rsidRPr="006920D5" w:rsidRDefault="006D51F1" w:rsidP="006920D5">
      <w:pPr>
        <w:pStyle w:val="BOPVDetalle"/>
        <w:jc w:val="both"/>
        <w:rPr>
          <w:lang w:val="eu-ES"/>
        </w:rPr>
      </w:pPr>
      <w:r w:rsidRPr="006920D5">
        <w:rPr>
          <w:lang w:val="eu-ES"/>
        </w:rPr>
        <w:t>3. Aurkeztutako hautagaitza guztien artean, epaimahaiak hiru aipamen espezifiko egin ahalko ditu, gehienez ere, proiektu eta ekimen aipagarriei ikusgaitasuna emate aldera.</w:t>
      </w:r>
    </w:p>
    <w:p w:rsidR="006D51F1" w:rsidRPr="006920D5" w:rsidRDefault="006D51F1" w:rsidP="006920D5">
      <w:pPr>
        <w:pStyle w:val="BOPVDetalle"/>
        <w:jc w:val="both"/>
        <w:rPr>
          <w:lang w:val="eu-ES"/>
        </w:rPr>
      </w:pPr>
      <w:r w:rsidRPr="006920D5">
        <w:rPr>
          <w:lang w:val="eu-ES"/>
        </w:rPr>
        <w:t>4. Ezingo dira aintzatespen hau lortzeko hautagai izan aurreko deialdian kategoria berean saritu diren pertsonak eta erakundeak.</w:t>
      </w:r>
    </w:p>
    <w:p w:rsidR="006D51F1" w:rsidRPr="006920D5" w:rsidRDefault="006D51F1" w:rsidP="006920D5">
      <w:pPr>
        <w:pStyle w:val="BOPVDetalle"/>
        <w:jc w:val="both"/>
        <w:rPr>
          <w:lang w:val="eu-ES"/>
        </w:rPr>
      </w:pPr>
      <w:r w:rsidRPr="006920D5">
        <w:rPr>
          <w:lang w:val="eu-ES"/>
        </w:rPr>
        <w:t>3. artikulua.- Euskadiko adikzioen esparruko ibilbide profesionalaren aintzatespenak.</w:t>
      </w:r>
    </w:p>
    <w:p w:rsidR="006D51F1" w:rsidRPr="006920D5" w:rsidRDefault="006D51F1" w:rsidP="006920D5">
      <w:pPr>
        <w:pStyle w:val="BOPVDetalle"/>
        <w:jc w:val="both"/>
        <w:rPr>
          <w:lang w:val="eu-ES"/>
        </w:rPr>
      </w:pPr>
      <w:r w:rsidRPr="006920D5">
        <w:rPr>
          <w:lang w:val="eu-ES"/>
        </w:rPr>
        <w:t>1. Euskadiko adikzioen esparruko ibilbide profesionalaren aintzatespenek helburutzat dute, Euskal Autonomia Erkidegoan, adikzioen eremuan, prebentzioaren, asistentziaren, gizarteratzearen, prestakuntzaren edo ikerketaren arloetan egin den lan etengabea eta erreferentziala nabarmendu eta ezagutzera ematea.</w:t>
      </w:r>
    </w:p>
    <w:p w:rsidR="006D51F1" w:rsidRPr="006920D5" w:rsidRDefault="006D51F1" w:rsidP="006920D5">
      <w:pPr>
        <w:pStyle w:val="BOPVDetalle"/>
        <w:jc w:val="both"/>
        <w:rPr>
          <w:lang w:val="eu-ES"/>
        </w:rPr>
      </w:pPr>
      <w:r w:rsidRPr="006920D5">
        <w:rPr>
          <w:lang w:val="eu-ES"/>
        </w:rPr>
        <w:t>2. Aintzatespenak eskuratu ahalko dituzte adikzioen eremuan, prebentzioaren, asistentziaren, gizarteratzearen, prestakuntzaren eta ikerketaren arloetan egin duten lanarengatik nabarmendu diren edo nabarmentzen diren eta ibilbide kontsolidatua eta luzea duten EAEko pertsona fisiko zein juridikoek, erakunde publiko zein pribatuek nahiz administrazio eta instituzio publikoek, baldin eta ibilbide hori Euskal Autonomia Erkidegoan gauzatu badute.</w:t>
      </w:r>
    </w:p>
    <w:p w:rsidR="006D51F1" w:rsidRPr="006920D5" w:rsidRDefault="006D51F1" w:rsidP="006920D5">
      <w:pPr>
        <w:pStyle w:val="BOPVDetalle"/>
        <w:jc w:val="both"/>
        <w:rPr>
          <w:lang w:val="eu-ES"/>
        </w:rPr>
      </w:pPr>
      <w:r w:rsidRPr="006920D5">
        <w:rPr>
          <w:lang w:val="eu-ES"/>
        </w:rPr>
        <w:t>3. Ezingo dira aintzatespen hau lortzeko hautagai izan aurreko deialdietan kategoria berean saritu diren pertsonak eta erakundeak.</w:t>
      </w:r>
    </w:p>
    <w:p w:rsidR="006D51F1" w:rsidRPr="006920D5" w:rsidRDefault="006D51F1" w:rsidP="006920D5">
      <w:pPr>
        <w:pStyle w:val="BOPVDetalle"/>
        <w:jc w:val="both"/>
        <w:rPr>
          <w:lang w:val="eu-ES"/>
        </w:rPr>
      </w:pPr>
      <w:r w:rsidRPr="006920D5">
        <w:rPr>
          <w:lang w:val="eu-ES"/>
        </w:rPr>
        <w:t>4. artikulua.- Aintzatespenen eta aipamenen ezaugarriak.</w:t>
      </w:r>
    </w:p>
    <w:p w:rsidR="006D51F1" w:rsidRPr="006920D5" w:rsidRDefault="006D51F1" w:rsidP="006920D5">
      <w:pPr>
        <w:pStyle w:val="BOPVDetalle"/>
        <w:jc w:val="both"/>
        <w:rPr>
          <w:lang w:val="eu-ES"/>
        </w:rPr>
      </w:pPr>
      <w:r w:rsidRPr="006920D5">
        <w:rPr>
          <w:lang w:val="eu-ES"/>
        </w:rPr>
        <w:t>1. Emango diren aintzatespenek eta aipamenek ohorezko izaera izango dute; ez da dirurik emango, eta ez dute pizgarri zein onura ekonomikorik eragingo. Honako hauez egongo da osatua saria: adikzioen arloan eskumena duen Eusko Jaurlaritzako organoak diseinatutako sari, ziurtagiria eta publikoaren aintzatespena.</w:t>
      </w:r>
    </w:p>
    <w:p w:rsidR="006D51F1" w:rsidRPr="006920D5" w:rsidRDefault="006D51F1" w:rsidP="006920D5">
      <w:pPr>
        <w:pStyle w:val="BOPVDetalle"/>
        <w:jc w:val="both"/>
        <w:rPr>
          <w:lang w:val="eu-ES"/>
        </w:rPr>
      </w:pPr>
      <w:r w:rsidRPr="006920D5">
        <w:rPr>
          <w:lang w:val="eu-ES"/>
        </w:rPr>
        <w:t>2. Aintzatespenak eta aipamenak horretarako antolatuko den ekitaldi publiko batean emango dira.</w:t>
      </w:r>
    </w:p>
    <w:p w:rsidR="006D51F1" w:rsidRPr="006920D5" w:rsidRDefault="006D51F1" w:rsidP="006920D5">
      <w:pPr>
        <w:pStyle w:val="BOPVDetalle"/>
        <w:jc w:val="both"/>
        <w:rPr>
          <w:lang w:val="eu-ES"/>
        </w:rPr>
      </w:pPr>
      <w:r w:rsidRPr="006920D5">
        <w:rPr>
          <w:lang w:val="eu-ES"/>
        </w:rPr>
        <w:t>5. artikulua.- Hautagaien aurkezpena.</w:t>
      </w:r>
    </w:p>
    <w:p w:rsidR="006D51F1" w:rsidRPr="006920D5" w:rsidRDefault="006D51F1" w:rsidP="006920D5">
      <w:pPr>
        <w:pStyle w:val="BOPVDetalle"/>
        <w:jc w:val="both"/>
        <w:rPr>
          <w:lang w:val="eu-ES"/>
        </w:rPr>
      </w:pPr>
      <w:r w:rsidRPr="006920D5">
        <w:rPr>
          <w:lang w:val="eu-ES"/>
        </w:rPr>
        <w:lastRenderedPageBreak/>
        <w:t>1. Aintzatespenak eta aipamenak lortzeko hautagai izan nahi duten pertsona eta erakundeek beraiek edo beste edozein pertsona fisiko zein juridikok nahiz erakunde publiko zein pribatuk aurkeztu ahalko dituzte hautagaitzak.</w:t>
      </w:r>
    </w:p>
    <w:p w:rsidR="006D51F1" w:rsidRPr="006920D5" w:rsidRDefault="006D51F1" w:rsidP="006920D5">
      <w:pPr>
        <w:pStyle w:val="BOPVDetalle"/>
        <w:jc w:val="both"/>
        <w:rPr>
          <w:lang w:val="eu-ES"/>
        </w:rPr>
      </w:pPr>
      <w:r w:rsidRPr="006920D5">
        <w:rPr>
          <w:lang w:val="eu-ES"/>
        </w:rPr>
        <w:t>2. Hautagaitza bakoitzarekin batera, honako agiri hauek aurkeztu behar dira, gutxienez:</w:t>
      </w:r>
    </w:p>
    <w:p w:rsidR="006D51F1" w:rsidRPr="006920D5" w:rsidRDefault="006D51F1" w:rsidP="006920D5">
      <w:pPr>
        <w:pStyle w:val="BOPVDetalle"/>
        <w:jc w:val="both"/>
        <w:rPr>
          <w:lang w:val="eu-ES"/>
        </w:rPr>
      </w:pPr>
      <w:r w:rsidRPr="006920D5">
        <w:rPr>
          <w:lang w:val="eu-ES"/>
        </w:rPr>
        <w:t>a) Hautagaitza-formularioa.</w:t>
      </w:r>
    </w:p>
    <w:p w:rsidR="006D51F1" w:rsidRPr="006920D5" w:rsidRDefault="006D51F1" w:rsidP="006920D5">
      <w:pPr>
        <w:pStyle w:val="BOPVDetalle"/>
        <w:jc w:val="both"/>
        <w:rPr>
          <w:lang w:val="eu-ES"/>
        </w:rPr>
      </w:pPr>
      <w:r w:rsidRPr="006920D5">
        <w:rPr>
          <w:lang w:val="eu-ES"/>
        </w:rPr>
        <w:t>b) Azalpen-memoria: adikzioen esparruko ibilbide profesionalaren aintzatespenen kasuan, pertsonaren edo erakundearen ibilbide profesionala azaldu beharko da, xehe-xehe; eta, adikzioen arloko jardunbide egokien aintzatespenen kasuan, jardunbide egokia, ekimen berritzailea edo ikerketa-proiektua azaldu beharko da.</w:t>
      </w:r>
    </w:p>
    <w:p w:rsidR="006D51F1" w:rsidRPr="006920D5" w:rsidRDefault="006D51F1" w:rsidP="006920D5">
      <w:pPr>
        <w:pStyle w:val="BOPVDetalle"/>
        <w:jc w:val="both"/>
        <w:rPr>
          <w:lang w:val="eu-ES"/>
        </w:rPr>
      </w:pPr>
      <w:r w:rsidRPr="006920D5">
        <w:rPr>
          <w:lang w:val="eu-ES"/>
        </w:rPr>
        <w:t>c) Hala egokituz gero, hautagaiak aurkezten dituztenen abal edo atxikimenduak, proposatutako erakundearen, pertsonaren edo pertsonen alde.</w:t>
      </w:r>
    </w:p>
    <w:p w:rsidR="006D51F1" w:rsidRPr="006920D5" w:rsidRDefault="006D51F1" w:rsidP="006920D5">
      <w:pPr>
        <w:pStyle w:val="BOPVDetalle"/>
        <w:jc w:val="both"/>
        <w:rPr>
          <w:lang w:val="eu-ES"/>
        </w:rPr>
      </w:pPr>
      <w:r w:rsidRPr="006920D5">
        <w:rPr>
          <w:lang w:val="eu-ES"/>
        </w:rPr>
        <w:t>d) Gainera, ikus-entzunezko aurkezpen bat erantsi ahalko da (gehienez ere, 10 minutukoa).</w:t>
      </w:r>
    </w:p>
    <w:p w:rsidR="006D51F1" w:rsidRPr="006920D5" w:rsidRDefault="006D51F1" w:rsidP="006920D5">
      <w:pPr>
        <w:pStyle w:val="BOPVDetalle"/>
        <w:jc w:val="both"/>
        <w:rPr>
          <w:lang w:val="eu-ES"/>
        </w:rPr>
      </w:pPr>
      <w:r w:rsidRPr="006920D5">
        <w:rPr>
          <w:lang w:val="eu-ES"/>
        </w:rPr>
        <w:t>e) Proiektuen dokumentazioa Euskal Autonomia Erkidegoko edozein hizkuntza ofizialetan aurkeztu ahalko da.</w:t>
      </w:r>
    </w:p>
    <w:p w:rsidR="006D51F1" w:rsidRPr="006920D5" w:rsidRDefault="006D51F1" w:rsidP="006920D5">
      <w:pPr>
        <w:pStyle w:val="BOPVDetalle"/>
        <w:jc w:val="both"/>
        <w:rPr>
          <w:lang w:val="eu-ES"/>
        </w:rPr>
      </w:pPr>
      <w:r w:rsidRPr="006920D5">
        <w:rPr>
          <w:lang w:val="eu-ES"/>
        </w:rPr>
        <w:t>3. Aintzatespen bakoitzaren deialdiaren ebazpenetan, dokumentu horien ezaugarriak zehaztuko dira, eta ereduak emango dira.</w:t>
      </w:r>
    </w:p>
    <w:p w:rsidR="006D51F1" w:rsidRPr="006920D5" w:rsidRDefault="006D51F1" w:rsidP="006920D5">
      <w:pPr>
        <w:pStyle w:val="BOPVDetalle"/>
        <w:jc w:val="both"/>
        <w:rPr>
          <w:lang w:val="eu-ES"/>
        </w:rPr>
      </w:pPr>
      <w:r w:rsidRPr="006920D5">
        <w:rPr>
          <w:lang w:val="eu-ES"/>
        </w:rPr>
        <w:t>4. Ezingo dira lehiatu ez epaimahaiko kideak, ezta haien lehen mailako senideak ere.</w:t>
      </w:r>
    </w:p>
    <w:p w:rsidR="006D51F1" w:rsidRPr="006920D5" w:rsidRDefault="006D51F1" w:rsidP="006920D5">
      <w:pPr>
        <w:pStyle w:val="BOPVDetalle"/>
        <w:jc w:val="both"/>
        <w:rPr>
          <w:lang w:val="eu-ES"/>
        </w:rPr>
      </w:pPr>
      <w:r w:rsidRPr="006920D5">
        <w:rPr>
          <w:lang w:val="eu-ES"/>
        </w:rPr>
        <w:t>5. Hautagaitza aurkeztuz gero, berariaz eta formalki onartzen dira dekretu honetan eta aintzatespen bakoitzaren deialdiaren ebazpenean adierazten diren betekizunak eta baldintzak.</w:t>
      </w:r>
    </w:p>
    <w:p w:rsidR="006D51F1" w:rsidRPr="006920D5" w:rsidRDefault="006D51F1" w:rsidP="006920D5">
      <w:pPr>
        <w:pStyle w:val="BOPVDetalle"/>
        <w:jc w:val="both"/>
        <w:rPr>
          <w:lang w:val="eu-ES"/>
        </w:rPr>
      </w:pPr>
      <w:r w:rsidRPr="006920D5">
        <w:rPr>
          <w:lang w:val="eu-ES"/>
        </w:rPr>
        <w:t>6. Hautagaitza-formularioetan agertzen diren datu pertsonalen tratamendua Datu Pertsonalak Babesteari eta eskubide digitalak bermatzeari buruzko Lege Organikoarekin bat etorriz egingo da (abenduaren 5eko 3/2018 Lege Organikoa).</w:t>
      </w:r>
    </w:p>
    <w:p w:rsidR="006D51F1" w:rsidRPr="006920D5" w:rsidRDefault="006D51F1" w:rsidP="006920D5">
      <w:pPr>
        <w:pStyle w:val="BOPVDetalle"/>
        <w:jc w:val="both"/>
        <w:rPr>
          <w:lang w:val="eu-ES"/>
        </w:rPr>
      </w:pPr>
      <w:r w:rsidRPr="006920D5">
        <w:rPr>
          <w:lang w:val="eu-ES"/>
        </w:rPr>
        <w:t>6. artikulua.- Sarien kudeaketa.</w:t>
      </w:r>
    </w:p>
    <w:p w:rsidR="006D51F1" w:rsidRPr="006920D5" w:rsidRDefault="006D51F1" w:rsidP="006920D5">
      <w:pPr>
        <w:pStyle w:val="BOPVDetalle"/>
        <w:jc w:val="both"/>
        <w:rPr>
          <w:lang w:val="eu-ES"/>
        </w:rPr>
      </w:pPr>
      <w:r w:rsidRPr="006920D5">
        <w:rPr>
          <w:lang w:val="eu-ES"/>
        </w:rPr>
        <w:t>Adikzioen arloan eskumena duen Eusko Jaurlaritzako organoa arduratuko da aintzatespenak eta aipamenak emateko kudeaketa-lanez.</w:t>
      </w:r>
    </w:p>
    <w:p w:rsidR="006D51F1" w:rsidRPr="006920D5" w:rsidRDefault="006D51F1" w:rsidP="006920D5">
      <w:pPr>
        <w:pStyle w:val="BOPVDetalle"/>
        <w:jc w:val="both"/>
        <w:rPr>
          <w:lang w:val="eu-ES"/>
        </w:rPr>
      </w:pPr>
      <w:r w:rsidRPr="006920D5">
        <w:rPr>
          <w:lang w:val="eu-ES"/>
        </w:rPr>
        <w:t>7. artikulua.- Deialdia.</w:t>
      </w:r>
    </w:p>
    <w:p w:rsidR="006D51F1" w:rsidRPr="006920D5" w:rsidRDefault="006D51F1" w:rsidP="006920D5">
      <w:pPr>
        <w:pStyle w:val="BOPVDetalle"/>
        <w:jc w:val="both"/>
        <w:rPr>
          <w:lang w:val="eu-ES"/>
        </w:rPr>
      </w:pPr>
      <w:r w:rsidRPr="006920D5">
        <w:rPr>
          <w:lang w:val="eu-ES"/>
        </w:rPr>
        <w:t>1. Euskadiko adikzioen arloko jardunbide egokien aintzatespenen eta aipamenen deialdia bi urtean behin egingo da, adikzioen arloan eskumena duen Eusko Jaurlaritzako organoaren titularrak ematen duen ebazpenaren bidez.</w:t>
      </w:r>
    </w:p>
    <w:p w:rsidR="006D51F1" w:rsidRPr="006920D5" w:rsidRDefault="006D51F1" w:rsidP="006920D5">
      <w:pPr>
        <w:pStyle w:val="BOPVDetalle"/>
        <w:jc w:val="both"/>
        <w:rPr>
          <w:lang w:val="eu-ES"/>
        </w:rPr>
      </w:pPr>
      <w:r w:rsidRPr="006920D5">
        <w:rPr>
          <w:lang w:val="eu-ES"/>
        </w:rPr>
        <w:t>2. Euskadiko adikzioen esparruko ibilbide profesionalaren aintzatespenen deialdia lau urtean behin egingo da, adikzioen arloan eskumena duen Eusko Jaurlaritzako organoaren titularrak ematen duen ebazpenaren bidez.</w:t>
      </w:r>
    </w:p>
    <w:p w:rsidR="006D51F1" w:rsidRPr="006920D5" w:rsidRDefault="006D51F1" w:rsidP="006920D5">
      <w:pPr>
        <w:pStyle w:val="BOPVDetalle"/>
        <w:jc w:val="both"/>
        <w:rPr>
          <w:lang w:val="eu-ES"/>
        </w:rPr>
      </w:pPr>
      <w:r w:rsidRPr="006920D5">
        <w:rPr>
          <w:lang w:val="eu-ES"/>
        </w:rPr>
        <w:t>3. Ebazpen horietan –Euskal Herriko Agintaritzaren Aldizkarian argitaratu eta beharrezkoak diren bideen bidez zabaldu behar dira–, hautagaitzak aurkezteko epeak eta modua ezarriko dira. Hautagaitzak izapidetzeari buruzko zehaztasunak Euskal Autonomia Erkidegoko Administrazio Publikoaren egoitza elektronikoan egongo dira eskuragarri (www.euskadi.eus).</w:t>
      </w:r>
    </w:p>
    <w:p w:rsidR="006D51F1" w:rsidRPr="006920D5" w:rsidRDefault="006D51F1" w:rsidP="006920D5">
      <w:pPr>
        <w:pStyle w:val="BOPVDetalle"/>
        <w:jc w:val="both"/>
        <w:rPr>
          <w:lang w:val="eu-ES"/>
        </w:rPr>
      </w:pPr>
      <w:r w:rsidRPr="006920D5">
        <w:rPr>
          <w:lang w:val="eu-ES"/>
        </w:rPr>
        <w:lastRenderedPageBreak/>
        <w:t>8. artikulua.- Epaimahaia.</w:t>
      </w:r>
    </w:p>
    <w:p w:rsidR="006D51F1" w:rsidRPr="006920D5" w:rsidRDefault="006D51F1" w:rsidP="006920D5">
      <w:pPr>
        <w:pStyle w:val="BOPVDetalle"/>
        <w:jc w:val="both"/>
        <w:rPr>
          <w:lang w:val="eu-ES"/>
        </w:rPr>
      </w:pPr>
      <w:r w:rsidRPr="006920D5">
        <w:rPr>
          <w:lang w:val="eu-ES"/>
        </w:rPr>
        <w:t>1. Adikzioen arloko prebentzioarekin, asistentziarekin, gizarteratzearekin, prestakuntzarekin eta ikerketarekin lotuta dauden 6 lagunez osatutako epaimahaiak ebaluatu eta hautatuko ditu aintzatespenak edo aipamenak jasoko dituzten hautagaitzak, eta adikzioen arloan eskumena duen Eusko Jaurlaritzako organoaren titularrak ematen duen ebazpenaren bidez izendatuko dira. Pertsona horietako 4 titularrak izango dira, eta 2, ordezkoak.</w:t>
      </w:r>
    </w:p>
    <w:p w:rsidR="006D51F1" w:rsidRPr="006920D5" w:rsidRDefault="006D51F1" w:rsidP="006920D5">
      <w:pPr>
        <w:pStyle w:val="BOPVDetalle"/>
        <w:jc w:val="both"/>
        <w:rPr>
          <w:lang w:val="eu-ES"/>
        </w:rPr>
      </w:pPr>
      <w:r w:rsidRPr="006920D5">
        <w:rPr>
          <w:lang w:val="eu-ES"/>
        </w:rPr>
        <w:t>2. Epaimahaiaren osaera aintzatespenen eta aipamenen deialdiaren ebazpenean emango da ezagutzera, eta trebakuntza, gaitasun eta prestakuntza egokia duten emakumeen eta gizonen ordezkaritza orekatua izango du, Emakumeen eta Gizonen arteko Berdintasunerako otsailaren 18ko 4/2005 Legearekin bat etorriz.</w:t>
      </w:r>
    </w:p>
    <w:p w:rsidR="006D51F1" w:rsidRPr="006920D5" w:rsidRDefault="006D51F1" w:rsidP="006920D5">
      <w:pPr>
        <w:pStyle w:val="BOPVDetalle"/>
        <w:jc w:val="both"/>
        <w:rPr>
          <w:lang w:val="eu-ES"/>
        </w:rPr>
      </w:pPr>
      <w:r w:rsidRPr="006920D5">
        <w:rPr>
          <w:lang w:val="eu-ES"/>
        </w:rPr>
        <w:t>3. Epaimahaiek kideen artean aukeratuko dituzte lehendakaria eta idazkaria.</w:t>
      </w:r>
    </w:p>
    <w:p w:rsidR="006D51F1" w:rsidRPr="006920D5" w:rsidRDefault="006D51F1" w:rsidP="006920D5">
      <w:pPr>
        <w:pStyle w:val="BOPVDetalle"/>
        <w:jc w:val="both"/>
        <w:rPr>
          <w:lang w:val="eu-ES"/>
        </w:rPr>
      </w:pPr>
      <w:r w:rsidRPr="006920D5">
        <w:rPr>
          <w:lang w:val="eu-ES"/>
        </w:rPr>
        <w:t>9. ar</w:t>
      </w:r>
      <w:r w:rsidR="00E55F06" w:rsidRPr="006920D5">
        <w:rPr>
          <w:lang w:val="eu-ES"/>
        </w:rPr>
        <w:t>tikulua. Balorazio- eta adjudikazio</w:t>
      </w:r>
      <w:r w:rsidRPr="006920D5">
        <w:rPr>
          <w:lang w:val="eu-ES"/>
        </w:rPr>
        <w:t>-irizpideak.</w:t>
      </w:r>
    </w:p>
    <w:p w:rsidR="006D51F1" w:rsidRPr="006920D5" w:rsidRDefault="006D51F1" w:rsidP="006920D5">
      <w:pPr>
        <w:pStyle w:val="BOPVDetalle"/>
        <w:jc w:val="both"/>
        <w:rPr>
          <w:lang w:val="eu-ES"/>
        </w:rPr>
      </w:pPr>
      <w:r w:rsidRPr="006920D5">
        <w:rPr>
          <w:lang w:val="eu-ES"/>
        </w:rPr>
        <w:t>Epaimahaiko kideek aintzatespenen eta aipamenen hautagaitzak baloratzeko kontuan izango dituzten irizpideak horien deialdiaren ebazpenetan zehaztuko dira.</w:t>
      </w:r>
    </w:p>
    <w:p w:rsidR="006D51F1" w:rsidRPr="006920D5" w:rsidRDefault="006D51F1" w:rsidP="006920D5">
      <w:pPr>
        <w:pStyle w:val="BOPVDetalle"/>
        <w:jc w:val="both"/>
        <w:rPr>
          <w:lang w:val="eu-ES"/>
        </w:rPr>
      </w:pPr>
      <w:r w:rsidRPr="006920D5">
        <w:rPr>
          <w:lang w:val="eu-ES"/>
        </w:rPr>
        <w:t>Edonola ere, epaimahaiek, gutxienez, honako irizpide hauek izan beharko dituzte kontuan:</w:t>
      </w:r>
    </w:p>
    <w:p w:rsidR="006D51F1" w:rsidRPr="006920D5" w:rsidRDefault="006D51F1" w:rsidP="006920D5">
      <w:pPr>
        <w:pStyle w:val="BOPVDetalleNivel1"/>
        <w:jc w:val="both"/>
        <w:rPr>
          <w:color w:val="FF0000"/>
          <w:lang w:val="eu-ES"/>
        </w:rPr>
      </w:pPr>
      <w:r w:rsidRPr="006920D5">
        <w:rPr>
          <w:color w:val="000000"/>
          <w:lang w:val="eu-ES"/>
        </w:rPr>
        <w:t>a)</w:t>
      </w:r>
      <w:r w:rsidRPr="006920D5">
        <w:rPr>
          <w:color w:val="000000"/>
          <w:lang w:val="eu-ES"/>
        </w:rPr>
        <w:tab/>
      </w:r>
      <w:r w:rsidRPr="006920D5">
        <w:rPr>
          <w:lang w:val="eu-ES"/>
        </w:rPr>
        <w:t>Euskadiko adikzioen arloko jardunbide egokien aintzatespenak eta aipamenak:</w:t>
      </w:r>
    </w:p>
    <w:p w:rsidR="006D51F1" w:rsidRPr="006920D5" w:rsidRDefault="006D51F1" w:rsidP="006920D5">
      <w:pPr>
        <w:pStyle w:val="BOPVDetalleNivel2"/>
        <w:jc w:val="both"/>
        <w:rPr>
          <w:lang w:val="eu-ES"/>
        </w:rPr>
      </w:pPr>
      <w:r w:rsidRPr="006920D5">
        <w:rPr>
          <w:lang w:val="eu-ES"/>
        </w:rPr>
        <w:t>a.</w:t>
      </w:r>
      <w:r w:rsidRPr="006920D5">
        <w:rPr>
          <w:lang w:val="eu-ES"/>
        </w:rPr>
        <w:tab/>
        <w:t>Euskadiko adikzioen arloko prebentzioa, asistentzia, gizarteratzea, prestakuntza edo ikerketa hobetzeko egiten den ekarpena.</w:t>
      </w:r>
    </w:p>
    <w:p w:rsidR="006D51F1" w:rsidRPr="006920D5" w:rsidRDefault="006D51F1" w:rsidP="006920D5">
      <w:pPr>
        <w:pStyle w:val="BOPVDetalleNivel2"/>
        <w:jc w:val="both"/>
        <w:rPr>
          <w:lang w:val="eu-ES"/>
        </w:rPr>
      </w:pPr>
      <w:r w:rsidRPr="006920D5">
        <w:rPr>
          <w:lang w:val="eu-ES"/>
        </w:rPr>
        <w:t>b.</w:t>
      </w:r>
      <w:r w:rsidRPr="006920D5">
        <w:rPr>
          <w:lang w:val="eu-ES"/>
        </w:rPr>
        <w:tab/>
        <w:t>Izaera berritzailea.</w:t>
      </w:r>
    </w:p>
    <w:p w:rsidR="006D51F1" w:rsidRPr="006920D5" w:rsidRDefault="006D51F1" w:rsidP="006920D5">
      <w:pPr>
        <w:pStyle w:val="BOPVDetalleNivel2"/>
        <w:jc w:val="both"/>
        <w:rPr>
          <w:lang w:val="eu-ES"/>
        </w:rPr>
      </w:pPr>
      <w:r w:rsidRPr="006920D5">
        <w:rPr>
          <w:lang w:val="eu-ES"/>
        </w:rPr>
        <w:t>c.</w:t>
      </w:r>
      <w:r w:rsidRPr="006920D5">
        <w:rPr>
          <w:lang w:val="eu-ES"/>
        </w:rPr>
        <w:tab/>
        <w:t>Proiektuaren edo ekimenaren fidagarritasuna eta kalitate teknikoa.</w:t>
      </w:r>
    </w:p>
    <w:p w:rsidR="006D51F1" w:rsidRPr="006920D5" w:rsidRDefault="006D51F1" w:rsidP="006920D5">
      <w:pPr>
        <w:pStyle w:val="BOPVDetalleNivel1"/>
        <w:jc w:val="both"/>
        <w:rPr>
          <w:color w:val="FF0000"/>
          <w:lang w:val="eu-ES"/>
        </w:rPr>
      </w:pPr>
      <w:r w:rsidRPr="006920D5">
        <w:rPr>
          <w:color w:val="000000"/>
          <w:lang w:val="eu-ES"/>
        </w:rPr>
        <w:t>b)</w:t>
      </w:r>
      <w:r w:rsidRPr="006920D5">
        <w:rPr>
          <w:color w:val="000000"/>
          <w:lang w:val="eu-ES"/>
        </w:rPr>
        <w:tab/>
      </w:r>
      <w:r w:rsidRPr="006920D5">
        <w:rPr>
          <w:lang w:val="eu-ES"/>
        </w:rPr>
        <w:t>Euskadiko adikzioen esparruko ibilbide profesionalaren aintzatespenak:</w:t>
      </w:r>
    </w:p>
    <w:p w:rsidR="006D51F1" w:rsidRPr="006920D5" w:rsidRDefault="006D51F1" w:rsidP="006920D5">
      <w:pPr>
        <w:pStyle w:val="BOPVDetalleNivel2"/>
        <w:jc w:val="both"/>
        <w:rPr>
          <w:lang w:val="eu-ES"/>
        </w:rPr>
      </w:pPr>
      <w:r w:rsidRPr="006920D5">
        <w:rPr>
          <w:lang w:val="eu-ES"/>
        </w:rPr>
        <w:t>a.</w:t>
      </w:r>
      <w:r w:rsidRPr="006920D5">
        <w:rPr>
          <w:lang w:val="eu-ES"/>
        </w:rPr>
        <w:tab/>
        <w:t>Erakundeak, pertsonak edo pertsonek adikzioen esparruan izan duten inplikazio luzea.</w:t>
      </w:r>
    </w:p>
    <w:p w:rsidR="006D51F1" w:rsidRPr="006920D5" w:rsidRDefault="006D51F1" w:rsidP="006920D5">
      <w:pPr>
        <w:pStyle w:val="BOPVDetalleNivel2"/>
        <w:jc w:val="both"/>
        <w:rPr>
          <w:lang w:val="eu-ES"/>
        </w:rPr>
      </w:pPr>
      <w:r w:rsidRPr="006920D5">
        <w:rPr>
          <w:lang w:val="eu-ES"/>
        </w:rPr>
        <w:t>b.</w:t>
      </w:r>
      <w:r w:rsidRPr="006920D5">
        <w:rPr>
          <w:lang w:val="eu-ES"/>
        </w:rPr>
        <w:tab/>
        <w:t xml:space="preserve">Ibilbide profesionalaren berezko garrantzia, </w:t>
      </w:r>
      <w:r w:rsidRPr="006920D5">
        <w:rPr>
          <w:color w:val="000000"/>
          <w:lang w:val="eu-ES"/>
        </w:rPr>
        <w:t>adikzioen prebentzioaren, asistentziaren, gizarteratzearen, prestakuntzaren eta ikerketaren arloetan.</w:t>
      </w:r>
    </w:p>
    <w:p w:rsidR="006D51F1" w:rsidRPr="006920D5" w:rsidRDefault="006D51F1" w:rsidP="006920D5">
      <w:pPr>
        <w:pStyle w:val="BOPVDetalleNivel2"/>
        <w:jc w:val="both"/>
        <w:rPr>
          <w:lang w:val="eu-ES"/>
        </w:rPr>
      </w:pPr>
      <w:r w:rsidRPr="006920D5">
        <w:rPr>
          <w:lang w:val="eu-ES"/>
        </w:rPr>
        <w:t>c.</w:t>
      </w:r>
      <w:r w:rsidRPr="006920D5">
        <w:rPr>
          <w:lang w:val="eu-ES"/>
        </w:rPr>
        <w:tab/>
        <w:t>Proposatutako erakundeak, pertsonak edo pertsonek gauzatutako lanaren oihartzuna eta eragina.</w:t>
      </w:r>
    </w:p>
    <w:p w:rsidR="006D51F1" w:rsidRPr="006920D5" w:rsidRDefault="006D51F1" w:rsidP="006920D5">
      <w:pPr>
        <w:pStyle w:val="BOPVDetalle"/>
        <w:jc w:val="both"/>
        <w:rPr>
          <w:lang w:val="eu-ES"/>
        </w:rPr>
      </w:pPr>
      <w:r w:rsidRPr="006920D5">
        <w:rPr>
          <w:lang w:val="eu-ES"/>
        </w:rPr>
        <w:t>10. artikulua.- Ebazpena.</w:t>
      </w:r>
    </w:p>
    <w:p w:rsidR="006D51F1" w:rsidRPr="006920D5" w:rsidRDefault="006D51F1" w:rsidP="006920D5">
      <w:pPr>
        <w:pStyle w:val="BOPVDetalle"/>
        <w:jc w:val="both"/>
        <w:rPr>
          <w:lang w:val="eu-ES"/>
        </w:rPr>
      </w:pPr>
      <w:r w:rsidRPr="006920D5">
        <w:rPr>
          <w:lang w:val="eu-ES"/>
        </w:rPr>
        <w:t>1. Balorazio-prozesua amaitu ondoren, epaimahaiek, gehienez ere, lau hilabeteko epean ebatziko dituzte aintzatespenak eta aipamenak, dagokion deialdian eskaerak aurkezteko ezarritako epea amaitu eta hurrengo egunetik aurrera.</w:t>
      </w:r>
    </w:p>
    <w:p w:rsidR="006D51F1" w:rsidRPr="006920D5" w:rsidRDefault="006D51F1" w:rsidP="006920D5">
      <w:pPr>
        <w:pStyle w:val="BOPVDetalle"/>
        <w:jc w:val="both"/>
        <w:rPr>
          <w:lang w:val="eu-ES"/>
        </w:rPr>
      </w:pPr>
      <w:r w:rsidRPr="006920D5">
        <w:rPr>
          <w:lang w:val="eu-ES"/>
        </w:rPr>
        <w:t>2. Aurkeztutako hautagaitzak ez badira kalitatezkoak edo ez badauzkate behar diren merezimenduak, aintzatespenen eta aipamenen xedearen eta ezaugarrien arabera, epaimahaiek proposa dezakete sariak eman gabe geratzea.</w:t>
      </w:r>
    </w:p>
    <w:p w:rsidR="006D51F1" w:rsidRPr="006920D5" w:rsidRDefault="006D51F1" w:rsidP="006920D5">
      <w:pPr>
        <w:pStyle w:val="BOPVDetalle"/>
        <w:jc w:val="both"/>
        <w:rPr>
          <w:lang w:val="eu-ES"/>
        </w:rPr>
      </w:pPr>
      <w:r w:rsidRPr="006920D5">
        <w:rPr>
          <w:lang w:val="eu-ES"/>
        </w:rPr>
        <w:t>3. Epaimahaien erabakia adikzioen arloan eskumena duen Eusko Jaurlaritzako organoaren titularrak ematen duen ebazpenaren bidez emango da ezagutzera, eta Euskal Herriko Agintaritzaren Aldizkarian argitaratuko da.</w:t>
      </w:r>
    </w:p>
    <w:p w:rsidR="006D51F1" w:rsidRPr="006920D5" w:rsidRDefault="006D51F1" w:rsidP="006920D5">
      <w:pPr>
        <w:pStyle w:val="BOPVDetalle"/>
        <w:jc w:val="both"/>
        <w:rPr>
          <w:lang w:val="eu-ES"/>
        </w:rPr>
      </w:pPr>
      <w:r w:rsidRPr="006920D5">
        <w:rPr>
          <w:lang w:val="eu-ES"/>
        </w:rPr>
        <w:lastRenderedPageBreak/>
        <w:t>4. Prozedura ebazteko epea igaro bada eta ez bada ebazpenik eman, ulertuko da aintzatespenak eta aipamenak eman gabe geratuko direla.</w:t>
      </w:r>
    </w:p>
    <w:p w:rsidR="006D51F1" w:rsidRPr="006920D5" w:rsidRDefault="006D51F1" w:rsidP="006920D5">
      <w:pPr>
        <w:pStyle w:val="BOPVDetalle"/>
        <w:jc w:val="both"/>
        <w:rPr>
          <w:lang w:val="eu-ES"/>
        </w:rPr>
      </w:pPr>
      <w:r w:rsidRPr="006920D5">
        <w:rPr>
          <w:lang w:val="eu-ES"/>
        </w:rPr>
        <w:t>11. artikulua.- Aintzatespenak eta aipamenak argitaratu eta zabaltzea.</w:t>
      </w:r>
    </w:p>
    <w:p w:rsidR="006D51F1" w:rsidRPr="006920D5" w:rsidRDefault="006D51F1" w:rsidP="006920D5">
      <w:pPr>
        <w:pStyle w:val="BOPVDetalle"/>
        <w:jc w:val="both"/>
        <w:rPr>
          <w:lang w:val="eu-ES"/>
        </w:rPr>
      </w:pPr>
      <w:r w:rsidRPr="006920D5">
        <w:rPr>
          <w:lang w:val="eu-ES"/>
        </w:rPr>
        <w:t>1. Adikzioen arloan eskumena duen Eusko Jaurlaritzako organoak aintzatespenaren edo aipamenaren xede diren pertsonen edo erakundeen identitatea eta proiektu eta ekimen aipagarriak zabaldu ahalko ditu, egokien iruditzen zaion bidearen bidez –Internet barne–, eta denbora-mugarik gabe. Halaber, berariaz aipatuko dira lanen pertsona edo erakunde egileak nahiz proiektuen arduradunak.</w:t>
      </w:r>
    </w:p>
    <w:p w:rsidR="006D51F1" w:rsidRPr="006920D5" w:rsidRDefault="006D51F1" w:rsidP="006920D5">
      <w:pPr>
        <w:pStyle w:val="BOPVDetalle"/>
        <w:jc w:val="both"/>
        <w:rPr>
          <w:lang w:val="eu-ES"/>
        </w:rPr>
      </w:pPr>
      <w:r w:rsidRPr="006920D5">
        <w:rPr>
          <w:lang w:val="eu-ES"/>
        </w:rPr>
        <w:t>2. Aintzatespenak eta aipamenak jasotzen dituzten pertsonek eta erakundeek baimena izango dute ezagutzera emateko sarituak izan direla, beraien komunikazio-ekintzetan eta izaera profesionaleko inprimakietan, deialdiaren ebazpena ematen den egunetik hurrengo deialdiaren ebazpena argitaratzen den arte.</w:t>
      </w:r>
    </w:p>
    <w:p w:rsidR="00841DEC" w:rsidRPr="006920D5" w:rsidRDefault="00841DEC" w:rsidP="006920D5">
      <w:pPr>
        <w:pStyle w:val="BOPVDisposicionTitulo"/>
        <w:jc w:val="both"/>
        <w:rPr>
          <w:lang w:val="eu-ES"/>
        </w:rPr>
      </w:pPr>
      <w:r w:rsidRPr="006920D5">
        <w:rPr>
          <w:lang w:val="eu-ES"/>
        </w:rPr>
        <w:t>XEDAPEN INDARGABETZAILEA.– Bakarra. - Arauak indargabetzea.</w:t>
      </w:r>
    </w:p>
    <w:p w:rsidR="006D51F1" w:rsidRPr="006920D5" w:rsidRDefault="006D51F1" w:rsidP="006920D5">
      <w:pPr>
        <w:pStyle w:val="BOPVDetalle"/>
        <w:jc w:val="both"/>
        <w:rPr>
          <w:lang w:val="eu-ES"/>
        </w:rPr>
      </w:pPr>
      <w:r w:rsidRPr="006920D5">
        <w:rPr>
          <w:lang w:val="eu-ES"/>
        </w:rPr>
        <w:t>Indargabetuta geratzen da ekainaren 25eko 398/1991 Dekretua, «Andrés Aya Goñi Oroitzarrea» izeneko saria sortzen duena.</w:t>
      </w:r>
    </w:p>
    <w:p w:rsidR="00841DEC" w:rsidRPr="006920D5" w:rsidRDefault="00FA5DD8" w:rsidP="006920D5">
      <w:pPr>
        <w:pStyle w:val="BOPVDisposicionTitulo"/>
        <w:jc w:val="both"/>
        <w:rPr>
          <w:lang w:val="eu-ES"/>
        </w:rPr>
      </w:pPr>
      <w:r w:rsidRPr="006920D5">
        <w:rPr>
          <w:lang w:val="eu-ES"/>
        </w:rPr>
        <w:t>AZKEN XEDAPENETAKO</w:t>
      </w:r>
      <w:r w:rsidR="00841DEC" w:rsidRPr="006920D5">
        <w:rPr>
          <w:lang w:val="eu-ES"/>
        </w:rPr>
        <w:t xml:space="preserve"> LEHENA. – Ordezko araubidea.</w:t>
      </w:r>
    </w:p>
    <w:p w:rsidR="006D51F1" w:rsidRPr="006920D5" w:rsidRDefault="006D51F1" w:rsidP="006920D5">
      <w:pPr>
        <w:pStyle w:val="BOPVDetalle"/>
        <w:jc w:val="both"/>
        <w:rPr>
          <w:lang w:val="eu-ES"/>
        </w:rPr>
      </w:pPr>
      <w:r w:rsidRPr="006920D5">
        <w:rPr>
          <w:lang w:val="eu-ES"/>
        </w:rPr>
        <w:t>Prozedurari eta kide anitzeko organoen araubide juridikoari dagokienez dekretu honetan berariaz araututa ez dauden alderdietarako, arau hauek aplikatuko dira: 39/2015 Legea, urriaren 1ekoa, Administrazio Publikoen Administrazio Prozedura Erkidearena; eta 40/2015 Legea, urriaren 1ekoa, Sektore Publikoaren Araubide Juridikoarena</w:t>
      </w:r>
      <w:bookmarkStart w:id="0" w:name="_GoBack"/>
      <w:bookmarkEnd w:id="0"/>
      <w:r w:rsidRPr="006920D5">
        <w:rPr>
          <w:lang w:val="eu-ES"/>
        </w:rPr>
        <w:t>.</w:t>
      </w:r>
    </w:p>
    <w:p w:rsidR="00841DEC" w:rsidRPr="006920D5" w:rsidRDefault="00FA5DD8" w:rsidP="006920D5">
      <w:pPr>
        <w:pStyle w:val="BOPVDisposicionTitulo"/>
        <w:jc w:val="both"/>
        <w:rPr>
          <w:lang w:val="eu-ES"/>
        </w:rPr>
      </w:pPr>
      <w:r w:rsidRPr="006920D5">
        <w:rPr>
          <w:lang w:val="eu-ES"/>
        </w:rPr>
        <w:t>AZKEN XEDAPENETAKO</w:t>
      </w:r>
      <w:r w:rsidR="00841DEC" w:rsidRPr="006920D5">
        <w:rPr>
          <w:lang w:val="eu-ES"/>
        </w:rPr>
        <w:t xml:space="preserve"> BIGARRENA. – Indarrean jartzea.</w:t>
      </w:r>
    </w:p>
    <w:p w:rsidR="006D51F1" w:rsidRPr="006920D5" w:rsidRDefault="006D51F1" w:rsidP="006920D5">
      <w:pPr>
        <w:pStyle w:val="BOPVDetalle"/>
        <w:jc w:val="both"/>
        <w:rPr>
          <w:lang w:val="eu-ES"/>
        </w:rPr>
      </w:pPr>
      <w:r w:rsidRPr="006920D5">
        <w:rPr>
          <w:lang w:val="eu-ES"/>
        </w:rPr>
        <w:t>Dekretu hau Euskal Herriko Agintaritzaren Aldizkarian argitaratu eta hurrengo egunean jarriko da indarrean.</w:t>
      </w:r>
    </w:p>
    <w:p w:rsidR="006D51F1" w:rsidRPr="006920D5" w:rsidRDefault="006D51F1" w:rsidP="006920D5">
      <w:pPr>
        <w:pStyle w:val="BOPVFirmaLugFec"/>
        <w:jc w:val="both"/>
        <w:rPr>
          <w:lang w:val="eu-ES"/>
        </w:rPr>
      </w:pPr>
      <w:r w:rsidRPr="006920D5">
        <w:rPr>
          <w:lang w:val="eu-ES"/>
        </w:rPr>
        <w:t>Vitoria-Gasteiz</w:t>
      </w:r>
      <w:r w:rsidR="00FA5DD8" w:rsidRPr="006920D5">
        <w:rPr>
          <w:lang w:val="eu-ES"/>
        </w:rPr>
        <w:t>en, 2019ko xxxxxxxaren xx(e</w:t>
      </w:r>
      <w:r w:rsidRPr="006920D5">
        <w:rPr>
          <w:lang w:val="eu-ES"/>
        </w:rPr>
        <w:t>)</w:t>
      </w:r>
      <w:r w:rsidR="00FA5DD8" w:rsidRPr="006920D5">
        <w:rPr>
          <w:lang w:val="eu-ES"/>
        </w:rPr>
        <w:t>(a)n.</w:t>
      </w:r>
    </w:p>
    <w:p w:rsidR="00841DEC" w:rsidRPr="006920D5" w:rsidRDefault="00841DEC" w:rsidP="006920D5">
      <w:pPr>
        <w:pStyle w:val="BOPVPuestoLehen2"/>
        <w:jc w:val="both"/>
        <w:rPr>
          <w:lang w:val="eu-ES"/>
        </w:rPr>
      </w:pPr>
      <w:r w:rsidRPr="006920D5">
        <w:rPr>
          <w:lang w:val="eu-ES"/>
        </w:rPr>
        <w:t>Lehendakaria,</w:t>
      </w:r>
    </w:p>
    <w:p w:rsidR="006D51F1" w:rsidRPr="006920D5" w:rsidRDefault="006D51F1" w:rsidP="006920D5">
      <w:pPr>
        <w:pStyle w:val="BOPVNombreLehen2"/>
        <w:jc w:val="both"/>
        <w:rPr>
          <w:lang w:val="eu-ES"/>
        </w:rPr>
      </w:pPr>
      <w:r w:rsidRPr="006920D5">
        <w:rPr>
          <w:lang w:val="eu-ES"/>
        </w:rPr>
        <w:t>Iñigo Urkullu Rentería.</w:t>
      </w:r>
    </w:p>
    <w:p w:rsidR="006D51F1" w:rsidRPr="006920D5" w:rsidRDefault="006D51F1" w:rsidP="006920D5">
      <w:pPr>
        <w:pStyle w:val="BOPVFirmaPuesto"/>
        <w:jc w:val="both"/>
        <w:rPr>
          <w:lang w:val="eu-ES"/>
        </w:rPr>
      </w:pPr>
      <w:r w:rsidRPr="006920D5">
        <w:rPr>
          <w:lang w:val="eu-ES"/>
        </w:rPr>
        <w:t>Osasuneko sailburua,</w:t>
      </w:r>
    </w:p>
    <w:p w:rsidR="006D51F1" w:rsidRPr="006920D5" w:rsidRDefault="006D51F1" w:rsidP="006920D5">
      <w:pPr>
        <w:pStyle w:val="BOPVFirmaNombre"/>
        <w:jc w:val="both"/>
        <w:rPr>
          <w:lang w:val="eu-ES"/>
        </w:rPr>
      </w:pPr>
      <w:r w:rsidRPr="006920D5">
        <w:rPr>
          <w:lang w:val="eu-ES"/>
        </w:rPr>
        <w:t>Miren Nekane Murga Eizagaechevarría.</w:t>
      </w:r>
    </w:p>
    <w:sectPr w:rsidR="006D51F1" w:rsidRPr="006920D5" w:rsidSect="009E0A60">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0D63" w:rsidRDefault="00DF0D63" w:rsidP="006D51F1">
      <w:r>
        <w:separator/>
      </w:r>
    </w:p>
  </w:endnote>
  <w:endnote w:type="continuationSeparator" w:id="0">
    <w:p w:rsidR="00DF0D63" w:rsidRDefault="00DF0D63" w:rsidP="006D51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0D63" w:rsidRDefault="00DF0D63" w:rsidP="006D51F1">
      <w:r>
        <w:separator/>
      </w:r>
    </w:p>
  </w:footnote>
  <w:footnote w:type="continuationSeparator" w:id="0">
    <w:p w:rsidR="00DF0D63" w:rsidRDefault="00DF0D63" w:rsidP="006D51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044B9"/>
    <w:multiLevelType w:val="hybridMultilevel"/>
    <w:tmpl w:val="6C5434D0"/>
    <w:lvl w:ilvl="0" w:tplc="0C0A0001">
      <w:start w:val="1"/>
      <w:numFmt w:val="bullet"/>
      <w:lvlText w:val=""/>
      <w:lvlJc w:val="left"/>
      <w:pPr>
        <w:ind w:left="1210" w:hanging="360"/>
      </w:pPr>
      <w:rPr>
        <w:rFonts w:ascii="Symbol" w:hAnsi="Symbol" w:hint="default"/>
      </w:rPr>
    </w:lvl>
    <w:lvl w:ilvl="1" w:tplc="0C0A0003" w:tentative="1">
      <w:start w:val="1"/>
      <w:numFmt w:val="bullet"/>
      <w:lvlText w:val="o"/>
      <w:lvlJc w:val="left"/>
      <w:pPr>
        <w:ind w:left="1930" w:hanging="360"/>
      </w:pPr>
      <w:rPr>
        <w:rFonts w:ascii="Courier New" w:hAnsi="Courier New" w:cs="Courier New" w:hint="default"/>
      </w:rPr>
    </w:lvl>
    <w:lvl w:ilvl="2" w:tplc="0C0A0005" w:tentative="1">
      <w:start w:val="1"/>
      <w:numFmt w:val="bullet"/>
      <w:lvlText w:val=""/>
      <w:lvlJc w:val="left"/>
      <w:pPr>
        <w:ind w:left="2650" w:hanging="360"/>
      </w:pPr>
      <w:rPr>
        <w:rFonts w:ascii="Wingdings" w:hAnsi="Wingdings" w:hint="default"/>
      </w:rPr>
    </w:lvl>
    <w:lvl w:ilvl="3" w:tplc="0C0A0001" w:tentative="1">
      <w:start w:val="1"/>
      <w:numFmt w:val="bullet"/>
      <w:lvlText w:val=""/>
      <w:lvlJc w:val="left"/>
      <w:pPr>
        <w:ind w:left="3370" w:hanging="360"/>
      </w:pPr>
      <w:rPr>
        <w:rFonts w:ascii="Symbol" w:hAnsi="Symbol" w:hint="default"/>
      </w:rPr>
    </w:lvl>
    <w:lvl w:ilvl="4" w:tplc="0C0A0003" w:tentative="1">
      <w:start w:val="1"/>
      <w:numFmt w:val="bullet"/>
      <w:lvlText w:val="o"/>
      <w:lvlJc w:val="left"/>
      <w:pPr>
        <w:ind w:left="4090" w:hanging="360"/>
      </w:pPr>
      <w:rPr>
        <w:rFonts w:ascii="Courier New" w:hAnsi="Courier New" w:cs="Courier New" w:hint="default"/>
      </w:rPr>
    </w:lvl>
    <w:lvl w:ilvl="5" w:tplc="0C0A0005" w:tentative="1">
      <w:start w:val="1"/>
      <w:numFmt w:val="bullet"/>
      <w:lvlText w:val=""/>
      <w:lvlJc w:val="left"/>
      <w:pPr>
        <w:ind w:left="4810" w:hanging="360"/>
      </w:pPr>
      <w:rPr>
        <w:rFonts w:ascii="Wingdings" w:hAnsi="Wingdings" w:hint="default"/>
      </w:rPr>
    </w:lvl>
    <w:lvl w:ilvl="6" w:tplc="0C0A0001" w:tentative="1">
      <w:start w:val="1"/>
      <w:numFmt w:val="bullet"/>
      <w:lvlText w:val=""/>
      <w:lvlJc w:val="left"/>
      <w:pPr>
        <w:ind w:left="5530" w:hanging="360"/>
      </w:pPr>
      <w:rPr>
        <w:rFonts w:ascii="Symbol" w:hAnsi="Symbol" w:hint="default"/>
      </w:rPr>
    </w:lvl>
    <w:lvl w:ilvl="7" w:tplc="0C0A0003" w:tentative="1">
      <w:start w:val="1"/>
      <w:numFmt w:val="bullet"/>
      <w:lvlText w:val="o"/>
      <w:lvlJc w:val="left"/>
      <w:pPr>
        <w:ind w:left="6250" w:hanging="360"/>
      </w:pPr>
      <w:rPr>
        <w:rFonts w:ascii="Courier New" w:hAnsi="Courier New" w:cs="Courier New" w:hint="default"/>
      </w:rPr>
    </w:lvl>
    <w:lvl w:ilvl="8" w:tplc="0C0A0005" w:tentative="1">
      <w:start w:val="1"/>
      <w:numFmt w:val="bullet"/>
      <w:lvlText w:val=""/>
      <w:lvlJc w:val="left"/>
      <w:pPr>
        <w:ind w:left="6970" w:hanging="360"/>
      </w:pPr>
      <w:rPr>
        <w:rFonts w:ascii="Wingdings" w:hAnsi="Wingdings" w:hint="default"/>
      </w:rPr>
    </w:lvl>
  </w:abstractNum>
  <w:abstractNum w:abstractNumId="1" w15:restartNumberingAfterBreak="0">
    <w:nsid w:val="09B47A8A"/>
    <w:multiLevelType w:val="singleLevel"/>
    <w:tmpl w:val="9D46EE28"/>
    <w:lvl w:ilvl="0">
      <w:start w:val="1"/>
      <w:numFmt w:val="decimal"/>
      <w:lvlText w:val="%1."/>
      <w:lvlJc w:val="left"/>
      <w:pPr>
        <w:tabs>
          <w:tab w:val="num" w:pos="360"/>
        </w:tabs>
        <w:ind w:left="360" w:hanging="360"/>
      </w:pPr>
    </w:lvl>
  </w:abstractNum>
  <w:abstractNum w:abstractNumId="2" w15:restartNumberingAfterBreak="0">
    <w:nsid w:val="13CA5F97"/>
    <w:multiLevelType w:val="hybridMultilevel"/>
    <w:tmpl w:val="BD7E2A6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3" w15:restartNumberingAfterBreak="0">
    <w:nsid w:val="3032245B"/>
    <w:multiLevelType w:val="hybridMultilevel"/>
    <w:tmpl w:val="E16CAB6C"/>
    <w:lvl w:ilvl="0" w:tplc="BB66D48A">
      <w:start w:val="1"/>
      <w:numFmt w:val="lowerLetter"/>
      <w:lvlText w:val="%1)"/>
      <w:lvlJc w:val="left"/>
      <w:pPr>
        <w:ind w:left="405" w:hanging="360"/>
      </w:pPr>
      <w:rPr>
        <w:rFonts w:eastAsia="Calibri" w:cs="Times New Roman" w:hint="default"/>
        <w:b w:val="0"/>
        <w:color w:val="000000"/>
      </w:rPr>
    </w:lvl>
    <w:lvl w:ilvl="1" w:tplc="0C0A0019">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4" w15:restartNumberingAfterBreak="0">
    <w:nsid w:val="3D570165"/>
    <w:multiLevelType w:val="hybridMultilevel"/>
    <w:tmpl w:val="5FA22E80"/>
    <w:lvl w:ilvl="0" w:tplc="0C0A0001">
      <w:start w:val="1"/>
      <w:numFmt w:val="bullet"/>
      <w:lvlText w:val=""/>
      <w:lvlJc w:val="left"/>
      <w:pPr>
        <w:ind w:left="1145" w:hanging="360"/>
      </w:pPr>
      <w:rPr>
        <w:rFonts w:ascii="Symbol" w:hAnsi="Symbol" w:hint="default"/>
      </w:rPr>
    </w:lvl>
    <w:lvl w:ilvl="1" w:tplc="0C0A0003" w:tentative="1">
      <w:start w:val="1"/>
      <w:numFmt w:val="bullet"/>
      <w:lvlText w:val="o"/>
      <w:lvlJc w:val="left"/>
      <w:pPr>
        <w:ind w:left="1865" w:hanging="360"/>
      </w:pPr>
      <w:rPr>
        <w:rFonts w:ascii="Courier New" w:hAnsi="Courier New" w:cs="Courier New" w:hint="default"/>
      </w:rPr>
    </w:lvl>
    <w:lvl w:ilvl="2" w:tplc="0C0A0005" w:tentative="1">
      <w:start w:val="1"/>
      <w:numFmt w:val="bullet"/>
      <w:lvlText w:val=""/>
      <w:lvlJc w:val="left"/>
      <w:pPr>
        <w:ind w:left="2585" w:hanging="360"/>
      </w:pPr>
      <w:rPr>
        <w:rFonts w:ascii="Wingdings" w:hAnsi="Wingdings" w:hint="default"/>
      </w:rPr>
    </w:lvl>
    <w:lvl w:ilvl="3" w:tplc="0C0A0001" w:tentative="1">
      <w:start w:val="1"/>
      <w:numFmt w:val="bullet"/>
      <w:lvlText w:val=""/>
      <w:lvlJc w:val="left"/>
      <w:pPr>
        <w:ind w:left="3305" w:hanging="360"/>
      </w:pPr>
      <w:rPr>
        <w:rFonts w:ascii="Symbol" w:hAnsi="Symbol" w:hint="default"/>
      </w:rPr>
    </w:lvl>
    <w:lvl w:ilvl="4" w:tplc="0C0A0003" w:tentative="1">
      <w:start w:val="1"/>
      <w:numFmt w:val="bullet"/>
      <w:lvlText w:val="o"/>
      <w:lvlJc w:val="left"/>
      <w:pPr>
        <w:ind w:left="4025" w:hanging="360"/>
      </w:pPr>
      <w:rPr>
        <w:rFonts w:ascii="Courier New" w:hAnsi="Courier New" w:cs="Courier New" w:hint="default"/>
      </w:rPr>
    </w:lvl>
    <w:lvl w:ilvl="5" w:tplc="0C0A0005" w:tentative="1">
      <w:start w:val="1"/>
      <w:numFmt w:val="bullet"/>
      <w:lvlText w:val=""/>
      <w:lvlJc w:val="left"/>
      <w:pPr>
        <w:ind w:left="4745" w:hanging="360"/>
      </w:pPr>
      <w:rPr>
        <w:rFonts w:ascii="Wingdings" w:hAnsi="Wingdings" w:hint="default"/>
      </w:rPr>
    </w:lvl>
    <w:lvl w:ilvl="6" w:tplc="0C0A0001" w:tentative="1">
      <w:start w:val="1"/>
      <w:numFmt w:val="bullet"/>
      <w:lvlText w:val=""/>
      <w:lvlJc w:val="left"/>
      <w:pPr>
        <w:ind w:left="5465" w:hanging="360"/>
      </w:pPr>
      <w:rPr>
        <w:rFonts w:ascii="Symbol" w:hAnsi="Symbol" w:hint="default"/>
      </w:rPr>
    </w:lvl>
    <w:lvl w:ilvl="7" w:tplc="0C0A0003" w:tentative="1">
      <w:start w:val="1"/>
      <w:numFmt w:val="bullet"/>
      <w:lvlText w:val="o"/>
      <w:lvlJc w:val="left"/>
      <w:pPr>
        <w:ind w:left="6185" w:hanging="360"/>
      </w:pPr>
      <w:rPr>
        <w:rFonts w:ascii="Courier New" w:hAnsi="Courier New" w:cs="Courier New" w:hint="default"/>
      </w:rPr>
    </w:lvl>
    <w:lvl w:ilvl="8" w:tplc="0C0A0005" w:tentative="1">
      <w:start w:val="1"/>
      <w:numFmt w:val="bullet"/>
      <w:lvlText w:val=""/>
      <w:lvlJc w:val="left"/>
      <w:pPr>
        <w:ind w:left="6905" w:hanging="360"/>
      </w:pPr>
      <w:rPr>
        <w:rFonts w:ascii="Wingdings" w:hAnsi="Wingdings" w:hint="default"/>
      </w:rPr>
    </w:lvl>
  </w:abstractNum>
  <w:abstractNum w:abstractNumId="5" w15:restartNumberingAfterBreak="0">
    <w:nsid w:val="4FAE1AD3"/>
    <w:multiLevelType w:val="multilevel"/>
    <w:tmpl w:val="DABA93C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52303932"/>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63C121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5924C35"/>
    <w:multiLevelType w:val="hybridMultilevel"/>
    <w:tmpl w:val="95542A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5"/>
  </w:num>
  <w:num w:numId="5">
    <w:abstractNumId w:val="5"/>
  </w:num>
  <w:num w:numId="6">
    <w:abstractNumId w:val="2"/>
  </w:num>
  <w:num w:numId="7">
    <w:abstractNumId w:val="4"/>
  </w:num>
  <w:num w:numId="8">
    <w:abstractNumId w:val="8"/>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embedSystemFonts/>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efaultTabStop w:val="425"/>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51F1"/>
    <w:rsid w:val="00007545"/>
    <w:rsid w:val="00012646"/>
    <w:rsid w:val="00013AE7"/>
    <w:rsid w:val="00023AFA"/>
    <w:rsid w:val="00030730"/>
    <w:rsid w:val="000338F0"/>
    <w:rsid w:val="00037F8F"/>
    <w:rsid w:val="00050619"/>
    <w:rsid w:val="00052111"/>
    <w:rsid w:val="000559E0"/>
    <w:rsid w:val="000602CE"/>
    <w:rsid w:val="00064560"/>
    <w:rsid w:val="00073680"/>
    <w:rsid w:val="00077360"/>
    <w:rsid w:val="00085FA0"/>
    <w:rsid w:val="00087A0D"/>
    <w:rsid w:val="000A1649"/>
    <w:rsid w:val="000A209F"/>
    <w:rsid w:val="000A780E"/>
    <w:rsid w:val="000B79DF"/>
    <w:rsid w:val="000C08CE"/>
    <w:rsid w:val="000D359C"/>
    <w:rsid w:val="000F5BB5"/>
    <w:rsid w:val="0010276F"/>
    <w:rsid w:val="001047B6"/>
    <w:rsid w:val="00111251"/>
    <w:rsid w:val="00113182"/>
    <w:rsid w:val="00126C67"/>
    <w:rsid w:val="001275E3"/>
    <w:rsid w:val="00142AAD"/>
    <w:rsid w:val="0017119C"/>
    <w:rsid w:val="0018327B"/>
    <w:rsid w:val="00190F88"/>
    <w:rsid w:val="00194AD6"/>
    <w:rsid w:val="001C7C21"/>
    <w:rsid w:val="001C7FD0"/>
    <w:rsid w:val="001D2F60"/>
    <w:rsid w:val="001E4F7E"/>
    <w:rsid w:val="001E5F7C"/>
    <w:rsid w:val="001F03B8"/>
    <w:rsid w:val="00201E0B"/>
    <w:rsid w:val="00210245"/>
    <w:rsid w:val="0021636C"/>
    <w:rsid w:val="00272152"/>
    <w:rsid w:val="00272B08"/>
    <w:rsid w:val="00274AF4"/>
    <w:rsid w:val="00280231"/>
    <w:rsid w:val="002870A7"/>
    <w:rsid w:val="00290F00"/>
    <w:rsid w:val="002A0E6F"/>
    <w:rsid w:val="002A5775"/>
    <w:rsid w:val="002B36CE"/>
    <w:rsid w:val="002C3E20"/>
    <w:rsid w:val="002D0FA2"/>
    <w:rsid w:val="002E48BC"/>
    <w:rsid w:val="002F741B"/>
    <w:rsid w:val="003029D7"/>
    <w:rsid w:val="00313277"/>
    <w:rsid w:val="0032594F"/>
    <w:rsid w:val="003319DC"/>
    <w:rsid w:val="00334F0E"/>
    <w:rsid w:val="0034378E"/>
    <w:rsid w:val="00377D30"/>
    <w:rsid w:val="00382C79"/>
    <w:rsid w:val="00383268"/>
    <w:rsid w:val="00397FDF"/>
    <w:rsid w:val="003C2927"/>
    <w:rsid w:val="003C2F90"/>
    <w:rsid w:val="003C7782"/>
    <w:rsid w:val="003E4FAA"/>
    <w:rsid w:val="003E7EBE"/>
    <w:rsid w:val="00402C84"/>
    <w:rsid w:val="0042783F"/>
    <w:rsid w:val="00440617"/>
    <w:rsid w:val="00453EA6"/>
    <w:rsid w:val="0045578E"/>
    <w:rsid w:val="00466B78"/>
    <w:rsid w:val="0046737F"/>
    <w:rsid w:val="004738B1"/>
    <w:rsid w:val="00477748"/>
    <w:rsid w:val="00481C80"/>
    <w:rsid w:val="004A0238"/>
    <w:rsid w:val="004A05CE"/>
    <w:rsid w:val="004A1FC1"/>
    <w:rsid w:val="004A2156"/>
    <w:rsid w:val="004A283A"/>
    <w:rsid w:val="004A552F"/>
    <w:rsid w:val="004B474D"/>
    <w:rsid w:val="004C1F51"/>
    <w:rsid w:val="004C4C43"/>
    <w:rsid w:val="004D66F6"/>
    <w:rsid w:val="004E52E0"/>
    <w:rsid w:val="004F1D06"/>
    <w:rsid w:val="004F2C1A"/>
    <w:rsid w:val="004F39B9"/>
    <w:rsid w:val="004F4611"/>
    <w:rsid w:val="00500B9C"/>
    <w:rsid w:val="00503F47"/>
    <w:rsid w:val="00535085"/>
    <w:rsid w:val="00552CF6"/>
    <w:rsid w:val="00553243"/>
    <w:rsid w:val="00562390"/>
    <w:rsid w:val="00573900"/>
    <w:rsid w:val="00586A4F"/>
    <w:rsid w:val="0058759F"/>
    <w:rsid w:val="005A344D"/>
    <w:rsid w:val="005A47C4"/>
    <w:rsid w:val="005C4645"/>
    <w:rsid w:val="005C5F4C"/>
    <w:rsid w:val="005F47F4"/>
    <w:rsid w:val="005F6FC4"/>
    <w:rsid w:val="00613E30"/>
    <w:rsid w:val="006157CB"/>
    <w:rsid w:val="00617065"/>
    <w:rsid w:val="00636310"/>
    <w:rsid w:val="00643E64"/>
    <w:rsid w:val="00644288"/>
    <w:rsid w:val="0065202D"/>
    <w:rsid w:val="006920D5"/>
    <w:rsid w:val="006952C6"/>
    <w:rsid w:val="006B048A"/>
    <w:rsid w:val="006B2099"/>
    <w:rsid w:val="006B396E"/>
    <w:rsid w:val="006B7084"/>
    <w:rsid w:val="006D3A08"/>
    <w:rsid w:val="006D51F1"/>
    <w:rsid w:val="006E0349"/>
    <w:rsid w:val="006E0BD5"/>
    <w:rsid w:val="006F5A68"/>
    <w:rsid w:val="00700A8D"/>
    <w:rsid w:val="00701EF6"/>
    <w:rsid w:val="00716627"/>
    <w:rsid w:val="00727DB7"/>
    <w:rsid w:val="00751F5A"/>
    <w:rsid w:val="00764A5B"/>
    <w:rsid w:val="00765CC2"/>
    <w:rsid w:val="00765F00"/>
    <w:rsid w:val="00767E39"/>
    <w:rsid w:val="00771D9F"/>
    <w:rsid w:val="00782E8F"/>
    <w:rsid w:val="0078540F"/>
    <w:rsid w:val="007A5ADE"/>
    <w:rsid w:val="007B764D"/>
    <w:rsid w:val="007C5AEE"/>
    <w:rsid w:val="007C6871"/>
    <w:rsid w:val="007F3EC2"/>
    <w:rsid w:val="00812FDA"/>
    <w:rsid w:val="008351F5"/>
    <w:rsid w:val="00841DEC"/>
    <w:rsid w:val="00842753"/>
    <w:rsid w:val="008679E4"/>
    <w:rsid w:val="0088161B"/>
    <w:rsid w:val="008863F5"/>
    <w:rsid w:val="008907FC"/>
    <w:rsid w:val="0089491E"/>
    <w:rsid w:val="008952B5"/>
    <w:rsid w:val="008A2AF6"/>
    <w:rsid w:val="008A6891"/>
    <w:rsid w:val="008B6990"/>
    <w:rsid w:val="008C2569"/>
    <w:rsid w:val="008E5F29"/>
    <w:rsid w:val="008F4DCA"/>
    <w:rsid w:val="009125E3"/>
    <w:rsid w:val="0092207B"/>
    <w:rsid w:val="00925335"/>
    <w:rsid w:val="009404F3"/>
    <w:rsid w:val="00952FD3"/>
    <w:rsid w:val="00956758"/>
    <w:rsid w:val="0096248B"/>
    <w:rsid w:val="009802C3"/>
    <w:rsid w:val="0098465A"/>
    <w:rsid w:val="009A194D"/>
    <w:rsid w:val="009D4F4B"/>
    <w:rsid w:val="009D65DE"/>
    <w:rsid w:val="009D6FF9"/>
    <w:rsid w:val="009F2BFF"/>
    <w:rsid w:val="009F4D93"/>
    <w:rsid w:val="00A26FC4"/>
    <w:rsid w:val="00A27F6C"/>
    <w:rsid w:val="00A37E92"/>
    <w:rsid w:val="00A43918"/>
    <w:rsid w:val="00A57625"/>
    <w:rsid w:val="00A755FA"/>
    <w:rsid w:val="00A76548"/>
    <w:rsid w:val="00A833EE"/>
    <w:rsid w:val="00A9086A"/>
    <w:rsid w:val="00A91C03"/>
    <w:rsid w:val="00AC03EB"/>
    <w:rsid w:val="00AD1D3A"/>
    <w:rsid w:val="00AE6B61"/>
    <w:rsid w:val="00B02538"/>
    <w:rsid w:val="00B05773"/>
    <w:rsid w:val="00B11A55"/>
    <w:rsid w:val="00B13792"/>
    <w:rsid w:val="00B14AF3"/>
    <w:rsid w:val="00B1534C"/>
    <w:rsid w:val="00B17B5D"/>
    <w:rsid w:val="00B21A90"/>
    <w:rsid w:val="00B2207E"/>
    <w:rsid w:val="00B5792A"/>
    <w:rsid w:val="00B612E4"/>
    <w:rsid w:val="00B72570"/>
    <w:rsid w:val="00B72ABD"/>
    <w:rsid w:val="00B73DA8"/>
    <w:rsid w:val="00B81E78"/>
    <w:rsid w:val="00BA0E4E"/>
    <w:rsid w:val="00BA225A"/>
    <w:rsid w:val="00BA46E8"/>
    <w:rsid w:val="00BF1BED"/>
    <w:rsid w:val="00C04878"/>
    <w:rsid w:val="00C06B17"/>
    <w:rsid w:val="00C119AB"/>
    <w:rsid w:val="00C3451D"/>
    <w:rsid w:val="00C46FE6"/>
    <w:rsid w:val="00C55B4F"/>
    <w:rsid w:val="00C70F93"/>
    <w:rsid w:val="00C74848"/>
    <w:rsid w:val="00C75C77"/>
    <w:rsid w:val="00C84722"/>
    <w:rsid w:val="00CB0B66"/>
    <w:rsid w:val="00CB2B2F"/>
    <w:rsid w:val="00CC4BE0"/>
    <w:rsid w:val="00CC5A92"/>
    <w:rsid w:val="00CD1366"/>
    <w:rsid w:val="00CE17AC"/>
    <w:rsid w:val="00CE53A0"/>
    <w:rsid w:val="00D11D9C"/>
    <w:rsid w:val="00D32691"/>
    <w:rsid w:val="00D35A12"/>
    <w:rsid w:val="00D36A14"/>
    <w:rsid w:val="00D4407C"/>
    <w:rsid w:val="00D60A98"/>
    <w:rsid w:val="00D71CB0"/>
    <w:rsid w:val="00D74CCF"/>
    <w:rsid w:val="00D840D5"/>
    <w:rsid w:val="00D85004"/>
    <w:rsid w:val="00D93D64"/>
    <w:rsid w:val="00DA74A2"/>
    <w:rsid w:val="00DC5EA5"/>
    <w:rsid w:val="00DE6A76"/>
    <w:rsid w:val="00DF0009"/>
    <w:rsid w:val="00DF0D63"/>
    <w:rsid w:val="00E058E6"/>
    <w:rsid w:val="00E120A5"/>
    <w:rsid w:val="00E12790"/>
    <w:rsid w:val="00E3248B"/>
    <w:rsid w:val="00E32FA6"/>
    <w:rsid w:val="00E55035"/>
    <w:rsid w:val="00E55F06"/>
    <w:rsid w:val="00E7416D"/>
    <w:rsid w:val="00E90F0E"/>
    <w:rsid w:val="00EA31C5"/>
    <w:rsid w:val="00EA625E"/>
    <w:rsid w:val="00EB413E"/>
    <w:rsid w:val="00EB432A"/>
    <w:rsid w:val="00EB4777"/>
    <w:rsid w:val="00EB6D09"/>
    <w:rsid w:val="00EC05EB"/>
    <w:rsid w:val="00EC6DC6"/>
    <w:rsid w:val="00EC7BDD"/>
    <w:rsid w:val="00ED50D9"/>
    <w:rsid w:val="00ED5CB6"/>
    <w:rsid w:val="00ED7AE5"/>
    <w:rsid w:val="00EE2D58"/>
    <w:rsid w:val="00EF1087"/>
    <w:rsid w:val="00EF614A"/>
    <w:rsid w:val="00F04A05"/>
    <w:rsid w:val="00F05A93"/>
    <w:rsid w:val="00F16A78"/>
    <w:rsid w:val="00F20A49"/>
    <w:rsid w:val="00F31C24"/>
    <w:rsid w:val="00F462AF"/>
    <w:rsid w:val="00F63611"/>
    <w:rsid w:val="00F705CC"/>
    <w:rsid w:val="00F72995"/>
    <w:rsid w:val="00F738DC"/>
    <w:rsid w:val="00F77CB4"/>
    <w:rsid w:val="00F8333E"/>
    <w:rsid w:val="00F83802"/>
    <w:rsid w:val="00FA393C"/>
    <w:rsid w:val="00FA3FFA"/>
    <w:rsid w:val="00FA5DD8"/>
    <w:rsid w:val="00FB51CC"/>
    <w:rsid w:val="00FB5349"/>
    <w:rsid w:val="00FD19A4"/>
    <w:rsid w:val="00FE5F43"/>
    <w:rsid w:val="00FF1071"/>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0570ADD-85D0-4587-8BDB-2677B84E5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rsid w:val="006920D5"/>
    <w:rPr>
      <w:lang w:val="es-ES" w:eastAsia="es-ES_tradnl"/>
    </w:rPr>
  </w:style>
  <w:style w:type="paragraph" w:styleId="3izenburua">
    <w:name w:val="heading 3"/>
    <w:basedOn w:val="Normala"/>
    <w:next w:val="Normala"/>
    <w:autoRedefine/>
    <w:qFormat/>
    <w:rsid w:val="006920D5"/>
    <w:pPr>
      <w:keepNext/>
      <w:spacing w:after="60"/>
      <w:outlineLvl w:val="2"/>
    </w:pPr>
    <w:rPr>
      <w:rFonts w:ascii="Arial" w:hAnsi="Arial" w:cs="Arial"/>
      <w:b/>
      <w:bCs/>
      <w:sz w:val="26"/>
      <w:szCs w:val="26"/>
    </w:rPr>
  </w:style>
  <w:style w:type="character" w:default="1" w:styleId="Paragrafoarenletra-tipolehenetsia">
    <w:name w:val="Default Paragraph Font"/>
    <w:semiHidden/>
    <w:rsid w:val="006920D5"/>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semiHidden/>
    <w:rsid w:val="006920D5"/>
  </w:style>
  <w:style w:type="paragraph" w:customStyle="1" w:styleId="BOPV">
    <w:name w:val="BOPV"/>
    <w:basedOn w:val="Normala"/>
    <w:rsid w:val="006920D5"/>
    <w:rPr>
      <w:rFonts w:ascii="Arial" w:hAnsi="Arial"/>
      <w:sz w:val="22"/>
      <w:szCs w:val="22"/>
    </w:rPr>
  </w:style>
  <w:style w:type="paragraph" w:customStyle="1" w:styleId="BOPVAnexo">
    <w:name w:val="BOPVAnexo"/>
    <w:basedOn w:val="BOPVDetalle"/>
    <w:rsid w:val="006920D5"/>
  </w:style>
  <w:style w:type="paragraph" w:customStyle="1" w:styleId="BOPVAnexoDentroTexto">
    <w:name w:val="BOPVAnexoDentroTexto"/>
    <w:basedOn w:val="BOPVDetalle"/>
    <w:rsid w:val="006920D5"/>
  </w:style>
  <w:style w:type="paragraph" w:customStyle="1" w:styleId="BOPVAnexoFinal">
    <w:name w:val="BOPVAnexoFinal"/>
    <w:basedOn w:val="BOPVDetalle"/>
    <w:rsid w:val="006920D5"/>
  </w:style>
  <w:style w:type="paragraph" w:customStyle="1" w:styleId="BOPVCapitulo">
    <w:name w:val="BOPVCapitulo"/>
    <w:basedOn w:val="BOPVDetalle"/>
    <w:autoRedefine/>
    <w:rsid w:val="006920D5"/>
  </w:style>
  <w:style w:type="paragraph" w:customStyle="1" w:styleId="BOPVClave">
    <w:name w:val="BOPVClave"/>
    <w:basedOn w:val="BOPVDetalle"/>
    <w:rsid w:val="006920D5"/>
    <w:pPr>
      <w:ind w:firstLine="0"/>
      <w:jc w:val="center"/>
    </w:pPr>
    <w:rPr>
      <w:caps/>
    </w:rPr>
  </w:style>
  <w:style w:type="paragraph" w:customStyle="1" w:styleId="BOPVDetalle">
    <w:name w:val="BOPVDetalle"/>
    <w:rsid w:val="006920D5"/>
    <w:pPr>
      <w:widowControl w:val="0"/>
      <w:spacing w:after="220"/>
      <w:ind w:firstLine="425"/>
    </w:pPr>
    <w:rPr>
      <w:rFonts w:ascii="Arial" w:hAnsi="Arial"/>
      <w:sz w:val="22"/>
      <w:szCs w:val="22"/>
      <w:lang w:val="es-ES" w:eastAsia="es-ES_tradnl"/>
    </w:rPr>
  </w:style>
  <w:style w:type="paragraph" w:customStyle="1" w:styleId="BOPVDetalleNivel2">
    <w:name w:val="BOPVDetalleNivel2"/>
    <w:basedOn w:val="BOPVDetalleNivel1"/>
    <w:rsid w:val="006920D5"/>
    <w:pPr>
      <w:ind w:firstLine="709"/>
    </w:pPr>
  </w:style>
  <w:style w:type="paragraph" w:customStyle="1" w:styleId="BOPVDisposicion">
    <w:name w:val="BOPVDisposicion"/>
    <w:basedOn w:val="BOPVClave"/>
    <w:rsid w:val="006920D5"/>
    <w:pPr>
      <w:jc w:val="left"/>
    </w:pPr>
  </w:style>
  <w:style w:type="paragraph" w:customStyle="1" w:styleId="BOPVDetalleNivel3">
    <w:name w:val="BOPVDetalleNivel3"/>
    <w:basedOn w:val="BOPVDetalleNivel2"/>
    <w:rsid w:val="006920D5"/>
    <w:pPr>
      <w:ind w:firstLine="992"/>
    </w:pPr>
  </w:style>
  <w:style w:type="paragraph" w:customStyle="1" w:styleId="BOPVFirmaLugFec">
    <w:name w:val="BOPVFirmaLugFec"/>
    <w:basedOn w:val="BOPVDetalle"/>
    <w:rsid w:val="006920D5"/>
  </w:style>
  <w:style w:type="paragraph" w:customStyle="1" w:styleId="BOPVFirmaNombre">
    <w:name w:val="BOPVFirmaNombre"/>
    <w:basedOn w:val="BOPVDetalle"/>
    <w:rsid w:val="006920D5"/>
    <w:pPr>
      <w:ind w:firstLine="0"/>
    </w:pPr>
    <w:rPr>
      <w:caps/>
    </w:rPr>
  </w:style>
  <w:style w:type="paragraph" w:customStyle="1" w:styleId="BOPVFirmaPuesto">
    <w:name w:val="BOPVFirmaPuesto"/>
    <w:basedOn w:val="BOPVDetalle"/>
    <w:rsid w:val="006920D5"/>
    <w:pPr>
      <w:spacing w:after="0"/>
      <w:ind w:firstLine="0"/>
    </w:pPr>
  </w:style>
  <w:style w:type="paragraph" w:customStyle="1" w:styleId="BOPVDetalleNivel4">
    <w:name w:val="BOPVDetalleNivel4"/>
    <w:basedOn w:val="BOPVDetalleNivel3"/>
    <w:rsid w:val="006920D5"/>
    <w:pPr>
      <w:ind w:firstLine="1276"/>
    </w:pPr>
  </w:style>
  <w:style w:type="paragraph" w:customStyle="1" w:styleId="BOPVNombreLehen1">
    <w:name w:val="BOPVNombreLehen1"/>
    <w:basedOn w:val="BOPVFirmaNombre"/>
    <w:rsid w:val="006920D5"/>
    <w:pPr>
      <w:jc w:val="center"/>
    </w:pPr>
  </w:style>
  <w:style w:type="paragraph" w:customStyle="1" w:styleId="BOPVNombreLehen2">
    <w:name w:val="BOPVNombreLehen2"/>
    <w:basedOn w:val="BOPVFirmaNombre"/>
    <w:rsid w:val="006920D5"/>
    <w:pPr>
      <w:jc w:val="right"/>
    </w:pPr>
  </w:style>
  <w:style w:type="paragraph" w:customStyle="1" w:styleId="BOPVNumeroBoletin">
    <w:name w:val="BOPVNumeroBoletin"/>
    <w:basedOn w:val="BOPVDetalle"/>
    <w:rsid w:val="006920D5"/>
  </w:style>
  <w:style w:type="paragraph" w:customStyle="1" w:styleId="BOPVOrden">
    <w:name w:val="BOPVOrden"/>
    <w:basedOn w:val="BOPVDetalle"/>
    <w:rsid w:val="006920D5"/>
  </w:style>
  <w:style w:type="paragraph" w:customStyle="1" w:styleId="BOPVOrganismo">
    <w:name w:val="BOPVOrganismo"/>
    <w:basedOn w:val="BOPVDetalle"/>
    <w:rsid w:val="006920D5"/>
    <w:rPr>
      <w:caps/>
    </w:rPr>
  </w:style>
  <w:style w:type="paragraph" w:customStyle="1" w:styleId="BOPVPuestoLehen1">
    <w:name w:val="BOPVPuestoLehen1"/>
    <w:basedOn w:val="BOPVFirmaPuesto"/>
    <w:rsid w:val="006920D5"/>
    <w:pPr>
      <w:jc w:val="center"/>
    </w:pPr>
  </w:style>
  <w:style w:type="paragraph" w:customStyle="1" w:styleId="BOPVPuestoLehen2">
    <w:name w:val="BOPVPuestoLehen2"/>
    <w:basedOn w:val="BOPVFirmaPuesto"/>
    <w:rsid w:val="006920D5"/>
    <w:pPr>
      <w:jc w:val="right"/>
    </w:pPr>
  </w:style>
  <w:style w:type="paragraph" w:customStyle="1" w:styleId="BOPVSeccion">
    <w:name w:val="BOPVSeccion"/>
    <w:basedOn w:val="BOPVDetalle"/>
    <w:rsid w:val="006920D5"/>
    <w:rPr>
      <w:caps/>
    </w:rPr>
  </w:style>
  <w:style w:type="paragraph" w:customStyle="1" w:styleId="BOPVSubseccion">
    <w:name w:val="BOPVSubseccion"/>
    <w:basedOn w:val="BOPVDetalle"/>
    <w:rsid w:val="006920D5"/>
  </w:style>
  <w:style w:type="paragraph" w:customStyle="1" w:styleId="BOPVSumarioEuskera">
    <w:name w:val="BOPVSumarioEuskera"/>
    <w:basedOn w:val="BOPV"/>
    <w:rsid w:val="006920D5"/>
  </w:style>
  <w:style w:type="paragraph" w:customStyle="1" w:styleId="BOPVSumarioOrden">
    <w:name w:val="BOPVSumarioOrden"/>
    <w:basedOn w:val="BOPV"/>
    <w:rsid w:val="006920D5"/>
  </w:style>
  <w:style w:type="paragraph" w:customStyle="1" w:styleId="BOPVSumarioOrganismo">
    <w:name w:val="BOPVSumarioOrganismo"/>
    <w:basedOn w:val="BOPV"/>
    <w:rsid w:val="006920D5"/>
  </w:style>
  <w:style w:type="paragraph" w:customStyle="1" w:styleId="BOPVSumarioSeccion">
    <w:name w:val="BOPVSumarioSeccion"/>
    <w:basedOn w:val="BOPV"/>
    <w:rsid w:val="006920D5"/>
  </w:style>
  <w:style w:type="paragraph" w:customStyle="1" w:styleId="BOPVSumarioSubseccion">
    <w:name w:val="BOPVSumarioSubseccion"/>
    <w:basedOn w:val="BOPV"/>
    <w:rsid w:val="006920D5"/>
  </w:style>
  <w:style w:type="paragraph" w:customStyle="1" w:styleId="BOPVSumarioTitulo">
    <w:name w:val="BOPVSumarioTitulo"/>
    <w:basedOn w:val="BOPV"/>
    <w:rsid w:val="006920D5"/>
  </w:style>
  <w:style w:type="paragraph" w:customStyle="1" w:styleId="BOPVTitulo">
    <w:name w:val="BOPVTitulo"/>
    <w:basedOn w:val="BOPVDetalle"/>
    <w:rsid w:val="006920D5"/>
    <w:pPr>
      <w:ind w:left="425" w:hanging="425"/>
    </w:pPr>
  </w:style>
  <w:style w:type="paragraph" w:customStyle="1" w:styleId="BOPVDetalleNivel1">
    <w:name w:val="BOPVDetalleNivel1"/>
    <w:basedOn w:val="BOPVDetalle"/>
    <w:rsid w:val="006920D5"/>
  </w:style>
  <w:style w:type="paragraph" w:customStyle="1" w:styleId="BOPVClaveSin">
    <w:name w:val="BOPVClaveSin"/>
    <w:basedOn w:val="BOPVDetalle"/>
    <w:rsid w:val="006920D5"/>
    <w:pPr>
      <w:spacing w:after="0"/>
      <w:ind w:firstLine="0"/>
      <w:jc w:val="center"/>
    </w:pPr>
    <w:rPr>
      <w:caps/>
    </w:rPr>
  </w:style>
  <w:style w:type="paragraph" w:customStyle="1" w:styleId="BOPVDisposicionTitulo">
    <w:name w:val="BOPVDisposicionTitulo"/>
    <w:basedOn w:val="BOPVDisposicion"/>
    <w:rsid w:val="006920D5"/>
    <w:rPr>
      <w:caps w:val="0"/>
    </w:rPr>
  </w:style>
  <w:style w:type="paragraph" w:customStyle="1" w:styleId="TituloBOPV">
    <w:name w:val="TituloBOPV"/>
    <w:basedOn w:val="BOPVDetalle"/>
    <w:rsid w:val="006920D5"/>
  </w:style>
  <w:style w:type="paragraph" w:customStyle="1" w:styleId="BOPVLista">
    <w:name w:val="BOPVLista"/>
    <w:basedOn w:val="BOPVDetalle"/>
    <w:rsid w:val="006920D5"/>
    <w:pPr>
      <w:contextualSpacing/>
    </w:pPr>
  </w:style>
  <w:style w:type="paragraph" w:customStyle="1" w:styleId="BOPVClaveMinusculas">
    <w:name w:val="BOPVClaveMinusculas"/>
    <w:basedOn w:val="BOPVClave"/>
    <w:rsid w:val="006920D5"/>
    <w:rPr>
      <w:caps w:val="0"/>
    </w:rPr>
  </w:style>
  <w:style w:type="paragraph" w:customStyle="1" w:styleId="BOPVDetalle1">
    <w:name w:val="BOPVDetalle1"/>
    <w:basedOn w:val="BOPVDetalle"/>
    <w:rsid w:val="006920D5"/>
    <w:pPr>
      <w:ind w:left="425"/>
    </w:pPr>
  </w:style>
  <w:style w:type="paragraph" w:customStyle="1" w:styleId="BOPVDetalle2">
    <w:name w:val="BOPVDetalle2"/>
    <w:basedOn w:val="BOPVDetalle1"/>
    <w:rsid w:val="006920D5"/>
    <w:pPr>
      <w:ind w:left="709"/>
    </w:pPr>
  </w:style>
  <w:style w:type="paragraph" w:customStyle="1" w:styleId="BOPVDetalle3">
    <w:name w:val="BOPVDetalle3"/>
    <w:basedOn w:val="BOPVDetalle2"/>
    <w:rsid w:val="006920D5"/>
    <w:pPr>
      <w:ind w:left="992"/>
    </w:pPr>
  </w:style>
  <w:style w:type="paragraph" w:customStyle="1" w:styleId="BOPVDetalle4">
    <w:name w:val="BOPVDetalle4"/>
    <w:basedOn w:val="BOPVDetalle3"/>
    <w:rsid w:val="006920D5"/>
    <w:pPr>
      <w:ind w:left="1276"/>
    </w:pPr>
  </w:style>
  <w:style w:type="paragraph" w:customStyle="1" w:styleId="BOPVNotificados">
    <w:name w:val="BOPVNotificados"/>
    <w:basedOn w:val="BOPVDetalle"/>
    <w:qFormat/>
    <w:rsid w:val="006920D5"/>
  </w:style>
  <w:style w:type="paragraph" w:customStyle="1" w:styleId="BOPVEfectos">
    <w:name w:val="BOPVEfectos"/>
    <w:basedOn w:val="BOPVDetalle"/>
    <w:qFormat/>
    <w:rsid w:val="006920D5"/>
  </w:style>
  <w:style w:type="paragraph" w:styleId="Zerrenda-paragrafoa">
    <w:name w:val="List Paragraph"/>
    <w:basedOn w:val="Normala"/>
    <w:uiPriority w:val="34"/>
    <w:qFormat/>
    <w:rsid w:val="006D51F1"/>
    <w:pPr>
      <w:ind w:left="720"/>
      <w:contextualSpacing/>
    </w:pPr>
    <w:rPr>
      <w:rFonts w:ascii="Calibri" w:eastAsia="Calibri" w:hAnsi="Calibri"/>
    </w:rPr>
  </w:style>
  <w:style w:type="paragraph" w:styleId="Goiburua">
    <w:name w:val="header"/>
    <w:basedOn w:val="Normala"/>
    <w:link w:val="GoiburuaKar"/>
    <w:uiPriority w:val="99"/>
    <w:unhideWhenUsed/>
    <w:rsid w:val="006D51F1"/>
    <w:pPr>
      <w:tabs>
        <w:tab w:val="center" w:pos="4252"/>
        <w:tab w:val="right" w:pos="8504"/>
      </w:tabs>
    </w:pPr>
    <w:rPr>
      <w:rFonts w:ascii="Calibri" w:eastAsia="Calibri" w:hAnsi="Calibri"/>
    </w:rPr>
  </w:style>
  <w:style w:type="character" w:customStyle="1" w:styleId="GoiburuaKar">
    <w:name w:val="Goiburua Kar"/>
    <w:link w:val="Goiburua"/>
    <w:uiPriority w:val="99"/>
    <w:rsid w:val="006D51F1"/>
    <w:rPr>
      <w:rFonts w:ascii="Calibri" w:eastAsia="Calibri" w:hAnsi="Calibri"/>
      <w:sz w:val="22"/>
      <w:szCs w:val="22"/>
      <w:lang w:val="eu-ES" w:eastAsia="en-US"/>
    </w:rPr>
  </w:style>
  <w:style w:type="paragraph" w:styleId="Orri-oina">
    <w:name w:val="footer"/>
    <w:basedOn w:val="Normala"/>
    <w:link w:val="Orri-oinaKar"/>
    <w:uiPriority w:val="99"/>
    <w:unhideWhenUsed/>
    <w:rsid w:val="006D51F1"/>
    <w:pPr>
      <w:tabs>
        <w:tab w:val="center" w:pos="4252"/>
        <w:tab w:val="right" w:pos="8504"/>
      </w:tabs>
    </w:pPr>
    <w:rPr>
      <w:rFonts w:ascii="Calibri" w:eastAsia="Calibri" w:hAnsi="Calibri"/>
    </w:rPr>
  </w:style>
  <w:style w:type="character" w:customStyle="1" w:styleId="Orri-oinaKar">
    <w:name w:val="Orri-oina Kar"/>
    <w:link w:val="Orri-oina"/>
    <w:uiPriority w:val="99"/>
    <w:rsid w:val="006D51F1"/>
    <w:rPr>
      <w:rFonts w:ascii="Calibri" w:eastAsia="Calibri" w:hAnsi="Calibri"/>
      <w:sz w:val="22"/>
      <w:szCs w:val="22"/>
      <w:lang w:val="eu-ES" w:eastAsia="en-US"/>
    </w:rPr>
  </w:style>
  <w:style w:type="paragraph" w:styleId="Iruzkinarentestua">
    <w:name w:val="annotation text"/>
    <w:uiPriority w:val="99"/>
    <w:semiHidden/>
    <w:unhideWhenUsed/>
  </w:style>
  <w:style w:type="character" w:styleId="Iruzkinarenerreferentzia">
    <w:name w:val="annotation reference"/>
    <w:uiPriority w:val="99"/>
    <w:semiHidden/>
    <w:unhideWhenUsed/>
    <w:rPr>
      <w:sz w:val="16"/>
      <w:szCs w:val="16"/>
    </w:rPr>
  </w:style>
  <w:style w:type="paragraph" w:styleId="Bunbuiloarentestua">
    <w:name w:val="Balloon Text"/>
    <w:basedOn w:val="Normala"/>
    <w:link w:val="BunbuiloarentestuaKar"/>
    <w:rsid w:val="00D71CB0"/>
    <w:rPr>
      <w:rFonts w:ascii="Segoe UI" w:hAnsi="Segoe UI" w:cs="Segoe UI"/>
      <w:sz w:val="18"/>
      <w:szCs w:val="18"/>
    </w:rPr>
  </w:style>
  <w:style w:type="character" w:customStyle="1" w:styleId="BunbuiloarentestuaKar">
    <w:name w:val="Bunbuiloaren testua Kar"/>
    <w:link w:val="Bunbuiloarentestua"/>
    <w:rsid w:val="00D71CB0"/>
    <w:rPr>
      <w:rFonts w:ascii="Segoe UI" w:hAnsi="Segoe UI" w:cs="Segoe UI"/>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5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JURIDICOS\Documentos%20BOPV\Plantilla.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Plantilla.dot</Template>
  <TotalTime>0</TotalTime>
  <Pages>5</Pages>
  <Words>1932</Words>
  <Characters>11015</Characters>
  <Application>Microsoft Office Word</Application>
  <DocSecurity>0</DocSecurity>
  <Lines>91</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DISPONGO:</vt:lpstr>
      <vt:lpstr>DISPONGO:</vt:lpstr>
    </vt:vector>
  </TitlesOfParts>
  <Company>ejie</Company>
  <LinksUpToDate>false</LinksUpToDate>
  <CharactersWithSpaces>12922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DISPONGO:</dc:title>
  <dc:subject/>
  <dc:creator>Corres Perez De Albeniz, Txiki</dc:creator>
  <cp:keywords/>
  <dc:description/>
  <cp:lastModifiedBy>Ortiz Aranzabe, Saioa</cp:lastModifiedBy>
  <cp:revision>2</cp:revision>
  <dcterms:created xsi:type="dcterms:W3CDTF">2019-05-02T08:54:00Z</dcterms:created>
  <dcterms:modified xsi:type="dcterms:W3CDTF">2019-05-02T08:54:00Z</dcterms:modified>
</cp:coreProperties>
</file>